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numPr>
          <w:numId w:val="0"/>
        </w:numPr>
        <w:wordWrap/>
        <w:adjustRightInd/>
        <w:snapToGrid/>
        <w:spacing w:line="240" w:lineRule="auto"/>
        <w:ind w:leftChars="0"/>
        <w:jc w:val="both"/>
        <w:textAlignment w:val="auto"/>
        <w:rPr>
          <w:rFonts w:hint="eastAsia" w:ascii="方正小标宋_GBK" w:hAnsi="方正小标宋_GBK" w:eastAsia="方正小标宋_GBK" w:cs="方正小标宋_GBK"/>
          <w:color w:val="FF0000"/>
          <w:w w:val="66"/>
          <w:sz w:val="52"/>
          <w:szCs w:val="52"/>
        </w:rPr>
      </w:pPr>
    </w:p>
    <w:p>
      <w:pPr>
        <w:spacing w:line="360" w:lineRule="auto"/>
        <w:jc w:val="center"/>
        <w:rPr>
          <w:rFonts w:hint="eastAsia" w:ascii="方正小标宋简体" w:hAnsi="方正小标宋简体" w:eastAsia="方正小标宋简体" w:cs="方正小标宋简体"/>
          <w:color w:val="FF0000"/>
          <w:w w:val="64"/>
          <w:sz w:val="116"/>
          <w:szCs w:val="116"/>
          <w:lang w:val="en-US" w:eastAsia="zh-CN"/>
        </w:rPr>
      </w:pPr>
      <w:r>
        <w:rPr>
          <w:rFonts w:hint="eastAsia" w:ascii="方正小标宋简体" w:hAnsi="方正小标宋简体" w:eastAsia="方正小标宋简体" w:cs="方正小标宋简体"/>
          <w:b w:val="0"/>
          <w:bCs w:val="0"/>
          <w:color w:val="FF0000"/>
          <w:spacing w:val="1"/>
          <w:w w:val="70"/>
          <w:kern w:val="0"/>
          <w:sz w:val="116"/>
          <w:szCs w:val="116"/>
          <w:fitText w:val="8166" w:id="0"/>
          <w:lang w:val="en-US" w:eastAsia="zh-CN"/>
        </w:rPr>
        <w:t>宁陵县应急管理局文</w:t>
      </w:r>
      <w:r>
        <w:rPr>
          <w:rFonts w:hint="eastAsia" w:ascii="方正小标宋简体" w:hAnsi="方正小标宋简体" w:eastAsia="方正小标宋简体" w:cs="方正小标宋简体"/>
          <w:b w:val="0"/>
          <w:bCs w:val="0"/>
          <w:color w:val="FF0000"/>
          <w:spacing w:val="41"/>
          <w:w w:val="70"/>
          <w:kern w:val="0"/>
          <w:sz w:val="116"/>
          <w:szCs w:val="116"/>
          <w:fitText w:val="8166" w:id="0"/>
          <w:lang w:val="en-US" w:eastAsia="zh-CN"/>
        </w:rPr>
        <w:t>件</w:t>
      </w:r>
    </w:p>
    <w:p>
      <w:pPr>
        <w:widowControl w:val="0"/>
        <w:wordWrap/>
        <w:adjustRightInd/>
        <w:snapToGrid/>
        <w:spacing w:beforeLines="50" w:afterLines="50" w:line="360" w:lineRule="auto"/>
        <w:jc w:val="center"/>
        <w:textAlignment w:val="auto"/>
        <w:rPr>
          <w:rFonts w:hint="eastAsia" w:ascii="仿宋_GB2312" w:hAnsi="仿宋_GB2312" w:eastAsia="仿宋_GB2312" w:cs="仿宋_GB2312"/>
          <w:sz w:val="32"/>
          <w:szCs w:val="32"/>
          <w:u w:val="none" w:color="FF0000"/>
        </w:rPr>
      </w:pPr>
      <w:r>
        <w:rPr>
          <w:rFonts w:hint="eastAsia" w:ascii="仿宋_GB2312" w:hAnsi="仿宋_GB2312" w:eastAsia="仿宋_GB2312" w:cs="仿宋_GB2312"/>
          <w:sz w:val="32"/>
          <w:szCs w:val="32"/>
          <w:u w:val="none" w:color="FF0000"/>
        </w:rPr>
        <w:t>宁</w:t>
      </w:r>
      <w:r>
        <w:rPr>
          <w:rFonts w:hint="eastAsia" w:ascii="仿宋_GB2312" w:hAnsi="仿宋_GB2312" w:eastAsia="仿宋_GB2312" w:cs="仿宋_GB2312"/>
          <w:sz w:val="32"/>
          <w:szCs w:val="32"/>
          <w:u w:val="none" w:color="FF0000"/>
          <w:lang w:val="en-US" w:eastAsia="zh-CN"/>
        </w:rPr>
        <w:t>应急</w:t>
      </w:r>
      <w:r>
        <w:rPr>
          <w:rFonts w:hint="eastAsia" w:ascii="仿宋_GB2312" w:hAnsi="仿宋_GB2312" w:eastAsia="仿宋_GB2312" w:cs="仿宋_GB2312"/>
          <w:sz w:val="32"/>
          <w:szCs w:val="32"/>
          <w:u w:val="none" w:color="FF0000"/>
        </w:rPr>
        <w:t>〔202</w:t>
      </w:r>
      <w:r>
        <w:rPr>
          <w:rFonts w:hint="eastAsia" w:ascii="仿宋_GB2312" w:hAnsi="仿宋_GB2312" w:eastAsia="仿宋_GB2312" w:cs="仿宋_GB2312"/>
          <w:sz w:val="32"/>
          <w:szCs w:val="32"/>
          <w:u w:val="none" w:color="FF0000"/>
          <w:lang w:val="en-US" w:eastAsia="zh-CN"/>
        </w:rPr>
        <w:t>3</w:t>
      </w:r>
      <w:r>
        <w:rPr>
          <w:rFonts w:hint="eastAsia" w:ascii="仿宋_GB2312" w:hAnsi="仿宋_GB2312" w:eastAsia="仿宋_GB2312" w:cs="仿宋_GB2312"/>
          <w:sz w:val="32"/>
          <w:szCs w:val="32"/>
          <w:u w:val="none" w:color="FF0000"/>
        </w:rPr>
        <w:t>〕</w:t>
      </w:r>
      <w:r>
        <w:rPr>
          <w:rFonts w:hint="eastAsia" w:ascii="仿宋_GB2312" w:hAnsi="仿宋_GB2312" w:eastAsia="仿宋_GB2312" w:cs="仿宋_GB2312"/>
          <w:sz w:val="32"/>
          <w:szCs w:val="32"/>
          <w:u w:val="none" w:color="FF0000"/>
          <w:lang w:val="en-US" w:eastAsia="zh-CN"/>
        </w:rPr>
        <w:t>16</w:t>
      </w:r>
      <w:r>
        <w:rPr>
          <w:rFonts w:hint="eastAsia" w:ascii="仿宋_GB2312" w:hAnsi="仿宋_GB2312" w:eastAsia="仿宋_GB2312" w:cs="仿宋_GB2312"/>
          <w:sz w:val="32"/>
          <w:szCs w:val="32"/>
          <w:u w:val="none" w:color="FF0000"/>
        </w:rPr>
        <w:t>号</w:t>
      </w:r>
    </w:p>
    <w:p>
      <w:pPr>
        <w:widowControl w:val="0"/>
        <w:wordWrap/>
        <w:adjustRightInd/>
        <w:snapToGrid/>
        <w:spacing w:line="300" w:lineRule="exact"/>
        <w:textAlignment w:val="auto"/>
        <w:rPr>
          <w:rFonts w:ascii="方正小标宋简体" w:hAnsi="方正小标宋简体" w:eastAsia="方正小标宋简体" w:cs="方正小标宋简体"/>
          <w:sz w:val="44"/>
          <w:szCs w:val="44"/>
          <w:u w:val="thick" w:color="FF0000"/>
        </w:rPr>
      </w:pPr>
      <w:r>
        <w:rPr>
          <w:rFonts w:hint="eastAsia" w:ascii="方正小标宋简体" w:hAnsi="方正小标宋简体" w:eastAsia="方正小标宋简体" w:cs="方正小标宋简体"/>
          <w:sz w:val="44"/>
          <w:szCs w:val="44"/>
          <w:u w:val="thick" w:color="FF0000"/>
        </w:rPr>
        <w:t xml:space="preserve">                                          </w:t>
      </w:r>
    </w:p>
    <w:p>
      <w:pPr>
        <w:spacing w:line="600" w:lineRule="exact"/>
        <w:jc w:val="center"/>
        <w:rPr>
          <w:rFonts w:ascii="方正小标宋简体" w:hAnsi="方正小标宋简体" w:eastAsia="方正小标宋简体" w:cs="方正小标宋简体"/>
          <w:sz w:val="44"/>
          <w:szCs w:val="44"/>
        </w:rPr>
      </w:pP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关于印发《宁陵县</w:t>
      </w:r>
      <w:r>
        <w:rPr>
          <w:rFonts w:hint="eastAsia" w:ascii="方正小标宋简体" w:hAnsi="方正小标宋简体" w:eastAsia="方正小标宋简体" w:cs="方正小标宋简体"/>
          <w:b w:val="0"/>
          <w:bCs w:val="0"/>
          <w:sz w:val="44"/>
          <w:szCs w:val="44"/>
          <w:lang w:val="en-US" w:eastAsia="zh-CN"/>
        </w:rPr>
        <w:t>应急管</w:t>
      </w:r>
      <w:bookmarkStart w:id="0" w:name="_GoBack"/>
      <w:bookmarkEnd w:id="0"/>
      <w:r>
        <w:rPr>
          <w:rFonts w:hint="eastAsia" w:ascii="方正小标宋简体" w:hAnsi="方正小标宋简体" w:eastAsia="方正小标宋简体" w:cs="方正小标宋简体"/>
          <w:b w:val="0"/>
          <w:bCs w:val="0"/>
          <w:sz w:val="44"/>
          <w:szCs w:val="44"/>
          <w:lang w:eastAsia="zh-CN"/>
        </w:rPr>
        <w:t>理局202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lang w:eastAsia="zh-CN"/>
        </w:rPr>
        <w:t>年度“双随机、一公开”随机抽查事项清单》</w:t>
      </w:r>
    </w:p>
    <w:p>
      <w:pPr>
        <w:widowControl w:val="0"/>
        <w:wordWrap/>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的通知</w:t>
      </w:r>
    </w:p>
    <w:p>
      <w:pPr>
        <w:spacing w:line="590" w:lineRule="exact"/>
        <w:ind w:firstLine="1600" w:firstLineChars="500"/>
        <w:rPr>
          <w:rFonts w:hint="eastAsia" w:ascii="仿宋" w:hAnsi="仿宋" w:eastAsia="仿宋" w:cs="仿宋"/>
          <w:b w:val="0"/>
          <w:bCs w:val="0"/>
          <w:sz w:val="32"/>
          <w:szCs w:val="32"/>
          <w:lang w:eastAsia="zh-CN"/>
        </w:rPr>
      </w:pPr>
    </w:p>
    <w:p>
      <w:pPr>
        <w:pStyle w:val="11"/>
        <w:widowControl w:val="0"/>
        <w:wordWrap/>
        <w:adjustRightInd/>
        <w:snapToGrid/>
        <w:spacing w:line="600" w:lineRule="exact"/>
        <w:ind w:left="0" w:leftChars="0" w:firstLine="0" w:firstLineChars="0"/>
        <w:jc w:val="left"/>
        <w:textAlignment w:val="auto"/>
        <w:rPr>
          <w:rFonts w:hint="eastAsia" w:ascii="仿宋" w:hAnsi="仿宋" w:eastAsia="仿宋" w:cs="仿宋"/>
          <w:b w:val="0"/>
          <w:bCs w:val="0"/>
          <w:sz w:val="32"/>
          <w:szCs w:val="32"/>
          <w:lang w:eastAsia="zh-CN"/>
        </w:rPr>
      </w:pPr>
      <w:r>
        <w:rPr>
          <w:rFonts w:hint="eastAsia" w:ascii="仿宋_GB2312" w:hAnsi="仿宋_GB2312" w:eastAsia="仿宋_GB2312" w:cs="仿宋_GB2312"/>
          <w:sz w:val="32"/>
          <w:szCs w:val="32"/>
          <w:lang w:val="en-US" w:eastAsia="zh-CN"/>
        </w:rPr>
        <w:t>各股室、执法大队</w:t>
      </w:r>
      <w:r>
        <w:rPr>
          <w:rFonts w:hint="eastAsia" w:ascii="仿宋" w:hAnsi="仿宋" w:eastAsia="仿宋" w:cs="仿宋"/>
          <w:b w:val="0"/>
          <w:bCs w:val="0"/>
          <w:sz w:val="32"/>
          <w:szCs w:val="32"/>
          <w:lang w:eastAsia="zh-CN"/>
        </w:rPr>
        <w:t>:</w:t>
      </w:r>
    </w:p>
    <w:p>
      <w:pPr>
        <w:pStyle w:val="9"/>
        <w:widowControl/>
        <w:pBdr>
          <w:top w:val="none" w:color="auto" w:sz="0" w:space="0"/>
          <w:left w:val="none" w:color="auto" w:sz="0" w:space="0"/>
          <w:bottom w:val="none" w:color="auto" w:sz="0" w:space="0"/>
          <w:right w:val="none" w:color="auto" w:sz="0" w:space="0"/>
        </w:pBdr>
        <w:wordWrap/>
        <w:adjustRightInd/>
        <w:snapToGrid/>
        <w:spacing w:before="150" w:beforeAutospacing="0" w:after="0" w:afterAutospacing="0" w:line="480" w:lineRule="atLeast"/>
        <w:ind w:right="-315" w:rightChars="-15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大安全生产重点行业领域监管执法力度，进一步提升我县安全生产监管效能和执法水平，坚持“全面覆盖、规范透明、问题导向、协同推进”原则，以“双随机、一公开”为基本手段、以重点监管为补充、以信用监管为基础的新型监管机制，切实做到违法必究、执法必严，进一步营造公平竞争的市场环境和法治化、便利化的营商环境，政策法规股通过汇总整理后确定适用县级随机抽查事项清单，制定了宁陵县应急管理局2023年度“双随机、一公开”随机抽查事项清单（第一版），现予以公示，接受社会监督。请各相关业务股室按照“双随机、一公开”监管工作要求，公平、公正实施抽查检查，检查结果统一在国家企业信用信息公示系统对外公示。</w:t>
      </w:r>
    </w:p>
    <w:p>
      <w:pPr>
        <w:pStyle w:val="11"/>
        <w:widowControl w:val="0"/>
        <w:wordWrap/>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附件:宁陵县应急管理局2023年度“双随机、一公开”随机抽查事项清单 </w:t>
      </w:r>
    </w:p>
    <w:p>
      <w:pPr>
        <w:pStyle w:val="11"/>
        <w:widowControl w:val="0"/>
        <w:wordWrap/>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lang w:val="en-US" w:eastAsia="zh-CN"/>
        </w:rPr>
      </w:pPr>
    </w:p>
    <w:p>
      <w:pPr>
        <w:pStyle w:val="11"/>
        <w:widowControl w:val="0"/>
        <w:wordWrap/>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lang w:val="en-US" w:eastAsia="zh-CN"/>
        </w:rPr>
      </w:pPr>
    </w:p>
    <w:p>
      <w:pPr>
        <w:pStyle w:val="11"/>
        <w:widowControl w:val="0"/>
        <w:wordWrap/>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lang w:val="en-US" w:eastAsia="zh-CN"/>
        </w:rPr>
      </w:pPr>
    </w:p>
    <w:p>
      <w:pPr>
        <w:pStyle w:val="11"/>
        <w:widowControl w:val="0"/>
        <w:wordWrap/>
        <w:adjustRightInd/>
        <w:snapToGrid/>
        <w:spacing w:line="560" w:lineRule="exact"/>
        <w:ind w:left="0" w:leftChars="0" w:firstLine="0" w:firstLineChars="0"/>
        <w:jc w:val="left"/>
        <w:textAlignment w:val="auto"/>
        <w:rPr>
          <w:rFonts w:hint="eastAsia" w:ascii="仿宋_GB2312" w:hAnsi="仿宋_GB2312" w:eastAsia="仿宋_GB2312" w:cs="仿宋_GB2312"/>
          <w:sz w:val="32"/>
          <w:szCs w:val="32"/>
          <w:lang w:val="en-US" w:eastAsia="zh-CN"/>
        </w:rPr>
      </w:pPr>
    </w:p>
    <w:p>
      <w:pPr>
        <w:pStyle w:val="11"/>
        <w:widowControl w:val="0"/>
        <w:wordWrap/>
        <w:adjustRightInd/>
        <w:snapToGrid/>
        <w:spacing w:line="560" w:lineRule="exact"/>
        <w:ind w:left="0" w:leftChars="0" w:firstLine="0" w:firstLineChars="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11"/>
        <w:widowControl w:val="0"/>
        <w:wordWrap/>
        <w:adjustRightInd/>
        <w:snapToGrid/>
        <w:spacing w:line="560" w:lineRule="exact"/>
        <w:ind w:firstLine="5760" w:firstLineChars="18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2023年6月17日</w:t>
      </w:r>
    </w:p>
    <w:p/>
    <w:p>
      <w:pPr>
        <w:pStyle w:val="7"/>
      </w:pPr>
    </w:p>
    <w:p>
      <w:pPr>
        <w:pStyle w:val="7"/>
      </w:pPr>
    </w:p>
    <w:p>
      <w:pPr>
        <w:pStyle w:val="7"/>
      </w:pPr>
    </w:p>
    <w:p>
      <w:pPr>
        <w:pStyle w:val="7"/>
      </w:pPr>
    </w:p>
    <w:p>
      <w:pPr>
        <w:pStyle w:val="7"/>
      </w:pPr>
    </w:p>
    <w:p>
      <w:pPr>
        <w:pStyle w:val="7"/>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rPr>
          <w:rFonts w:hint="default" w:eastAsia="宋体"/>
          <w:lang w:val="en-US" w:eastAsia="zh-CN"/>
        </w:rPr>
      </w:pPr>
    </w:p>
    <w:p>
      <w:pPr>
        <w:pStyle w:val="7"/>
        <w:ind w:left="0" w:leftChars="0" w:firstLine="0" w:firstLineChars="0"/>
      </w:pPr>
    </w:p>
    <w:p>
      <w:pPr>
        <w:pStyle w:val="7"/>
        <w:ind w:left="0" w:leftChars="0" w:firstLine="0" w:firstLineChars="0"/>
        <w:sectPr>
          <w:footerReference r:id="rId4" w:type="default"/>
          <w:pgSz w:w="11906" w:h="16838"/>
          <w:pgMar w:top="1701" w:right="1474" w:bottom="1417" w:left="1587" w:header="851" w:footer="992" w:gutter="0"/>
          <w:cols w:space="720" w:num="1"/>
          <w:rtlGutter w:val="0"/>
          <w:docGrid w:type="lines" w:linePitch="312"/>
        </w:sectPr>
      </w:pPr>
    </w:p>
    <w:p>
      <w:pPr>
        <w:spacing w:line="560" w:lineRule="exact"/>
        <w:jc w:val="center"/>
        <w:rPr>
          <w:rFonts w:ascii="方正小标宋简体" w:hAnsi="宋体" w:eastAsia="方正小标宋简体" w:cs="宋体"/>
          <w:kern w:val="2"/>
          <w:sz w:val="44"/>
          <w:szCs w:val="44"/>
        </w:rPr>
      </w:pPr>
      <w:r>
        <w:rPr>
          <w:rFonts w:hint="eastAsia" w:ascii="方正小标宋简体" w:hAnsi="宋体" w:eastAsia="方正小标宋简体" w:cs="宋体"/>
          <w:kern w:val="2"/>
          <w:sz w:val="44"/>
          <w:szCs w:val="44"/>
          <w:lang w:eastAsia="zh-CN"/>
        </w:rPr>
        <w:t>宁陵县</w:t>
      </w:r>
      <w:r>
        <w:rPr>
          <w:rFonts w:hint="eastAsia" w:ascii="方正小标宋简体" w:hAnsi="宋体" w:eastAsia="方正小标宋简体" w:cs="宋体"/>
          <w:kern w:val="2"/>
          <w:sz w:val="44"/>
          <w:szCs w:val="44"/>
          <w:lang w:val="en-US" w:eastAsia="zh-CN"/>
        </w:rPr>
        <w:t>应急</w:t>
      </w:r>
      <w:r>
        <w:rPr>
          <w:rFonts w:hint="eastAsia" w:ascii="方正小标宋简体" w:hAnsi="宋体" w:eastAsia="方正小标宋简体" w:cs="宋体"/>
          <w:kern w:val="2"/>
          <w:sz w:val="44"/>
          <w:szCs w:val="44"/>
          <w:lang w:eastAsia="zh-CN"/>
        </w:rPr>
        <w:t>管理局</w:t>
      </w:r>
      <w:r>
        <w:rPr>
          <w:rFonts w:hint="eastAsia" w:ascii="方正小标宋简体" w:hAnsi="宋体" w:eastAsia="方正小标宋简体" w:cs="宋体"/>
          <w:kern w:val="2"/>
          <w:sz w:val="44"/>
          <w:szCs w:val="44"/>
        </w:rPr>
        <w:t>“双随机、一公开”抽查事项清单（第</w:t>
      </w:r>
      <w:r>
        <w:rPr>
          <w:rFonts w:hint="eastAsia" w:ascii="方正小标宋简体" w:hAnsi="宋体" w:eastAsia="方正小标宋简体" w:cs="宋体"/>
          <w:kern w:val="2"/>
          <w:sz w:val="44"/>
          <w:szCs w:val="44"/>
          <w:lang w:val="en-US" w:eastAsia="zh-CN"/>
        </w:rPr>
        <w:t>一</w:t>
      </w:r>
      <w:r>
        <w:rPr>
          <w:rFonts w:hint="eastAsia" w:ascii="方正小标宋简体" w:hAnsi="宋体" w:eastAsia="方正小标宋简体" w:cs="宋体"/>
          <w:kern w:val="2"/>
          <w:sz w:val="44"/>
          <w:szCs w:val="44"/>
        </w:rPr>
        <w:t>版）</w:t>
      </w:r>
    </w:p>
    <w:p>
      <w:pPr>
        <w:spacing w:line="400" w:lineRule="exact"/>
        <w:jc w:val="center"/>
        <w:rPr>
          <w:rFonts w:eastAsia="宋体"/>
          <w:kern w:val="2"/>
          <w:sz w:val="44"/>
          <w:szCs w:val="44"/>
        </w:rPr>
      </w:pPr>
    </w:p>
    <w:tbl>
      <w:tblPr>
        <w:tblW w:w="13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1"/>
        <w:gridCol w:w="1842"/>
        <w:gridCol w:w="2046"/>
        <w:gridCol w:w="2986"/>
        <w:gridCol w:w="1451"/>
        <w:gridCol w:w="1264"/>
        <w:gridCol w:w="1673"/>
        <w:gridCol w:w="1363"/>
        <w:gridCol w:w="625"/>
      </w:tblGrid>
      <w:tr>
        <w:trPr>
          <w:trHeight w:val="634" w:hRule="atLeast"/>
          <w:tblHeader/>
          <w:jc w:val="center"/>
        </w:trPr>
        <w:tc>
          <w:tcPr>
            <w:tcW w:w="521" w:type="dxa"/>
            <w:vAlign w:val="center"/>
          </w:tcPr>
          <w:p>
            <w:pPr>
              <w:widowControl/>
              <w:snapToGrid w:val="0"/>
              <w:spacing w:line="240" w:lineRule="exact"/>
              <w:jc w:val="center"/>
              <w:rPr>
                <w:rFonts w:ascii="黑体" w:hAnsi="宋体" w:eastAsia="黑体" w:cs="宋体"/>
                <w:kern w:val="0"/>
                <w:sz w:val="21"/>
                <w:szCs w:val="21"/>
              </w:rPr>
            </w:pPr>
            <w:r>
              <w:rPr>
                <w:rFonts w:hint="eastAsia" w:ascii="黑体" w:hAnsi="宋体" w:eastAsia="黑体" w:cs="宋体"/>
                <w:kern w:val="0"/>
                <w:sz w:val="21"/>
                <w:szCs w:val="21"/>
              </w:rPr>
              <w:t>序号</w:t>
            </w:r>
          </w:p>
        </w:tc>
        <w:tc>
          <w:tcPr>
            <w:tcW w:w="1842" w:type="dxa"/>
            <w:vAlign w:val="center"/>
          </w:tcPr>
          <w:p>
            <w:pPr>
              <w:widowControl/>
              <w:snapToGrid w:val="0"/>
              <w:spacing w:line="240" w:lineRule="exact"/>
              <w:jc w:val="center"/>
              <w:rPr>
                <w:rFonts w:ascii="黑体" w:hAnsi="宋体" w:eastAsia="黑体" w:cs="宋体"/>
                <w:kern w:val="0"/>
                <w:sz w:val="21"/>
                <w:szCs w:val="21"/>
              </w:rPr>
            </w:pPr>
            <w:r>
              <w:rPr>
                <w:rFonts w:hint="eastAsia" w:ascii="黑体" w:hAnsi="宋体" w:eastAsia="黑体" w:cs="宋体"/>
                <w:kern w:val="0"/>
                <w:sz w:val="21"/>
                <w:szCs w:val="21"/>
              </w:rPr>
              <w:t>部门名称</w:t>
            </w:r>
          </w:p>
        </w:tc>
        <w:tc>
          <w:tcPr>
            <w:tcW w:w="2046" w:type="dxa"/>
            <w:vAlign w:val="center"/>
          </w:tcPr>
          <w:p>
            <w:pPr>
              <w:widowControl/>
              <w:snapToGrid w:val="0"/>
              <w:spacing w:line="240" w:lineRule="exact"/>
              <w:jc w:val="center"/>
              <w:rPr>
                <w:rFonts w:ascii="黑体" w:hAnsi="宋体" w:eastAsia="黑体" w:cs="宋体"/>
                <w:kern w:val="0"/>
                <w:sz w:val="21"/>
                <w:szCs w:val="21"/>
              </w:rPr>
            </w:pPr>
            <w:r>
              <w:rPr>
                <w:rFonts w:hint="eastAsia" w:ascii="黑体" w:hAnsi="宋体" w:eastAsia="黑体" w:cs="宋体"/>
                <w:kern w:val="0"/>
                <w:sz w:val="21"/>
                <w:szCs w:val="21"/>
              </w:rPr>
              <w:t>抽查事项</w:t>
            </w:r>
          </w:p>
          <w:p>
            <w:pPr>
              <w:snapToGrid w:val="0"/>
              <w:spacing w:line="240" w:lineRule="exact"/>
              <w:jc w:val="center"/>
              <w:rPr>
                <w:rFonts w:ascii="黑体" w:hAnsi="宋体" w:eastAsia="黑体" w:cs="宋体"/>
                <w:kern w:val="0"/>
                <w:sz w:val="21"/>
                <w:szCs w:val="21"/>
              </w:rPr>
            </w:pPr>
            <w:r>
              <w:rPr>
                <w:rFonts w:hint="eastAsia" w:ascii="黑体" w:hAnsi="宋体" w:eastAsia="黑体" w:cs="宋体"/>
                <w:kern w:val="0"/>
                <w:sz w:val="21"/>
                <w:szCs w:val="21"/>
              </w:rPr>
              <w:t>名    称</w:t>
            </w:r>
          </w:p>
        </w:tc>
        <w:tc>
          <w:tcPr>
            <w:tcW w:w="2986" w:type="dxa"/>
            <w:vAlign w:val="center"/>
          </w:tcPr>
          <w:p>
            <w:pPr>
              <w:widowControl/>
              <w:snapToGrid w:val="0"/>
              <w:spacing w:line="240" w:lineRule="exact"/>
              <w:jc w:val="center"/>
              <w:rPr>
                <w:rFonts w:ascii="黑体" w:hAnsi="宋体" w:eastAsia="黑体" w:cs="宋体"/>
                <w:kern w:val="0"/>
                <w:sz w:val="21"/>
                <w:szCs w:val="21"/>
              </w:rPr>
            </w:pPr>
            <w:r>
              <w:rPr>
                <w:rFonts w:hint="eastAsia" w:ascii="黑体" w:hAnsi="宋体" w:eastAsia="黑体" w:cs="宋体"/>
                <w:kern w:val="0"/>
                <w:sz w:val="21"/>
                <w:szCs w:val="21"/>
              </w:rPr>
              <w:t>抽查依据</w:t>
            </w:r>
          </w:p>
        </w:tc>
        <w:tc>
          <w:tcPr>
            <w:tcW w:w="1451" w:type="dxa"/>
            <w:vAlign w:val="center"/>
          </w:tcPr>
          <w:p>
            <w:pPr>
              <w:widowControl/>
              <w:snapToGrid w:val="0"/>
              <w:spacing w:line="240" w:lineRule="exact"/>
              <w:jc w:val="center"/>
              <w:rPr>
                <w:rFonts w:ascii="黑体" w:hAnsi="宋体" w:eastAsia="黑体" w:cs="宋体"/>
                <w:kern w:val="0"/>
                <w:sz w:val="21"/>
                <w:szCs w:val="21"/>
              </w:rPr>
            </w:pPr>
            <w:r>
              <w:rPr>
                <w:rFonts w:hint="eastAsia" w:ascii="黑体" w:hAnsi="宋体" w:eastAsia="黑体" w:cs="宋体"/>
                <w:kern w:val="0"/>
                <w:sz w:val="21"/>
                <w:szCs w:val="21"/>
              </w:rPr>
              <w:t>检查</w:t>
            </w:r>
          </w:p>
          <w:p>
            <w:pPr>
              <w:snapToGrid w:val="0"/>
              <w:spacing w:line="240" w:lineRule="exact"/>
              <w:jc w:val="center"/>
              <w:rPr>
                <w:rFonts w:ascii="黑体" w:hAnsi="宋体" w:eastAsia="黑体" w:cs="宋体"/>
                <w:kern w:val="0"/>
                <w:sz w:val="21"/>
                <w:szCs w:val="21"/>
              </w:rPr>
            </w:pPr>
            <w:r>
              <w:rPr>
                <w:rFonts w:hint="eastAsia" w:ascii="黑体" w:hAnsi="宋体" w:eastAsia="黑体" w:cs="宋体"/>
                <w:kern w:val="0"/>
                <w:sz w:val="21"/>
                <w:szCs w:val="21"/>
              </w:rPr>
              <w:t>主体</w:t>
            </w:r>
          </w:p>
        </w:tc>
        <w:tc>
          <w:tcPr>
            <w:tcW w:w="1264" w:type="dxa"/>
            <w:vAlign w:val="center"/>
          </w:tcPr>
          <w:p>
            <w:pPr>
              <w:widowControl/>
              <w:snapToGrid w:val="0"/>
              <w:spacing w:line="240" w:lineRule="exact"/>
              <w:jc w:val="center"/>
              <w:rPr>
                <w:rFonts w:ascii="黑体" w:hAnsi="宋体" w:eastAsia="黑体" w:cs="宋体"/>
                <w:kern w:val="0"/>
                <w:sz w:val="21"/>
                <w:szCs w:val="21"/>
              </w:rPr>
            </w:pPr>
            <w:r>
              <w:rPr>
                <w:rFonts w:hint="eastAsia" w:ascii="黑体" w:hAnsi="宋体" w:eastAsia="黑体" w:cs="宋体"/>
                <w:kern w:val="0"/>
                <w:sz w:val="21"/>
                <w:szCs w:val="21"/>
              </w:rPr>
              <w:t>事项</w:t>
            </w:r>
          </w:p>
          <w:p>
            <w:pPr>
              <w:snapToGrid w:val="0"/>
              <w:spacing w:line="240" w:lineRule="exact"/>
              <w:jc w:val="center"/>
              <w:rPr>
                <w:rFonts w:ascii="黑体" w:hAnsi="宋体" w:eastAsia="黑体" w:cs="宋体"/>
                <w:kern w:val="0"/>
                <w:sz w:val="21"/>
                <w:szCs w:val="21"/>
              </w:rPr>
            </w:pPr>
            <w:r>
              <w:rPr>
                <w:rFonts w:hint="eastAsia" w:ascii="黑体" w:hAnsi="宋体" w:eastAsia="黑体" w:cs="宋体"/>
                <w:kern w:val="0"/>
                <w:sz w:val="21"/>
                <w:szCs w:val="21"/>
              </w:rPr>
              <w:t>类别</w:t>
            </w:r>
          </w:p>
        </w:tc>
        <w:tc>
          <w:tcPr>
            <w:tcW w:w="1673" w:type="dxa"/>
            <w:vAlign w:val="center"/>
          </w:tcPr>
          <w:p>
            <w:pPr>
              <w:widowControl/>
              <w:snapToGrid w:val="0"/>
              <w:spacing w:line="240" w:lineRule="exact"/>
              <w:jc w:val="center"/>
              <w:rPr>
                <w:rFonts w:ascii="黑体" w:hAnsi="宋体" w:eastAsia="黑体" w:cs="宋体"/>
                <w:kern w:val="0"/>
                <w:sz w:val="21"/>
                <w:szCs w:val="21"/>
              </w:rPr>
            </w:pPr>
            <w:r>
              <w:rPr>
                <w:rFonts w:hint="eastAsia" w:ascii="黑体" w:hAnsi="宋体" w:eastAsia="黑体" w:cs="宋体"/>
                <w:kern w:val="0"/>
                <w:sz w:val="21"/>
                <w:szCs w:val="21"/>
              </w:rPr>
              <w:t>检查对象</w:t>
            </w:r>
          </w:p>
        </w:tc>
        <w:tc>
          <w:tcPr>
            <w:tcW w:w="1363" w:type="dxa"/>
            <w:vAlign w:val="center"/>
          </w:tcPr>
          <w:p>
            <w:pPr>
              <w:widowControl/>
              <w:snapToGrid w:val="0"/>
              <w:spacing w:line="240" w:lineRule="exact"/>
              <w:jc w:val="center"/>
              <w:rPr>
                <w:rFonts w:ascii="黑体" w:hAnsi="宋体" w:eastAsia="黑体" w:cs="宋体"/>
                <w:kern w:val="0"/>
                <w:sz w:val="21"/>
                <w:szCs w:val="21"/>
              </w:rPr>
            </w:pPr>
            <w:r>
              <w:rPr>
                <w:rFonts w:hint="eastAsia" w:ascii="黑体" w:hAnsi="宋体" w:eastAsia="黑体" w:cs="宋体"/>
                <w:kern w:val="0"/>
                <w:sz w:val="21"/>
                <w:szCs w:val="21"/>
              </w:rPr>
              <w:t>检查方式</w:t>
            </w:r>
          </w:p>
        </w:tc>
        <w:tc>
          <w:tcPr>
            <w:tcW w:w="625" w:type="dxa"/>
            <w:vAlign w:val="center"/>
          </w:tcPr>
          <w:p>
            <w:pPr>
              <w:widowControl/>
              <w:snapToGrid w:val="0"/>
              <w:spacing w:line="240" w:lineRule="exact"/>
              <w:jc w:val="center"/>
              <w:rPr>
                <w:rFonts w:ascii="黑体" w:hAnsi="宋体" w:eastAsia="黑体" w:cs="宋体"/>
                <w:kern w:val="0"/>
                <w:sz w:val="21"/>
                <w:szCs w:val="21"/>
              </w:rPr>
            </w:pPr>
            <w:r>
              <w:rPr>
                <w:rFonts w:hint="eastAsia" w:ascii="黑体" w:hAnsi="宋体" w:eastAsia="黑体" w:cs="宋体"/>
                <w:kern w:val="0"/>
                <w:sz w:val="21"/>
                <w:szCs w:val="21"/>
              </w:rPr>
              <w:t>备注</w:t>
            </w:r>
          </w:p>
        </w:tc>
      </w:tr>
      <w:tr>
        <w:trPr>
          <w:trHeight w:val="2264" w:hRule="atLeast"/>
          <w:jc w:val="center"/>
        </w:trPr>
        <w:tc>
          <w:tcPr>
            <w:tcW w:w="52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842"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宁陵县应急管理局</w:t>
            </w:r>
          </w:p>
        </w:tc>
        <w:tc>
          <w:tcPr>
            <w:tcW w:w="204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生产经营单位制定本单位生产安全事故应急救援预案及演练情况的检查</w:t>
            </w:r>
          </w:p>
        </w:tc>
        <w:tc>
          <w:tcPr>
            <w:tcW w:w="298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《中华人民共和国安全生产法》第81条</w:t>
            </w:r>
          </w:p>
        </w:tc>
        <w:tc>
          <w:tcPr>
            <w:tcW w:w="145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县级以上应急管理部门</w:t>
            </w:r>
          </w:p>
        </w:tc>
        <w:tc>
          <w:tcPr>
            <w:tcW w:w="1264"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一般检查事项</w:t>
            </w:r>
          </w:p>
        </w:tc>
        <w:tc>
          <w:tcPr>
            <w:tcW w:w="167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企业、个体工商户、农民专业合作社、外国企业常驻代表机构</w:t>
            </w:r>
          </w:p>
        </w:tc>
        <w:tc>
          <w:tcPr>
            <w:tcW w:w="136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625"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p>
        </w:tc>
      </w:tr>
      <w:tr>
        <w:trPr>
          <w:trHeight w:val="2190" w:hRule="atLeast"/>
          <w:jc w:val="center"/>
        </w:trPr>
        <w:tc>
          <w:tcPr>
            <w:tcW w:w="52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842"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宁陵县应急管理局</w:t>
            </w:r>
          </w:p>
        </w:tc>
        <w:tc>
          <w:tcPr>
            <w:tcW w:w="204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安全生产经费投入和使用情况的检查</w:t>
            </w:r>
          </w:p>
        </w:tc>
        <w:tc>
          <w:tcPr>
            <w:tcW w:w="298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《中华人民共和国安全生产法》第四十七条</w:t>
            </w:r>
          </w:p>
        </w:tc>
        <w:tc>
          <w:tcPr>
            <w:tcW w:w="145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县级以上应急管理部门</w:t>
            </w:r>
          </w:p>
        </w:tc>
        <w:tc>
          <w:tcPr>
            <w:tcW w:w="1264"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一般检查事项</w:t>
            </w:r>
          </w:p>
        </w:tc>
        <w:tc>
          <w:tcPr>
            <w:tcW w:w="167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企业、个体工商户、农民专业合作社、外国企业常驻代表机构</w:t>
            </w:r>
          </w:p>
        </w:tc>
        <w:tc>
          <w:tcPr>
            <w:tcW w:w="136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625"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p>
        </w:tc>
      </w:tr>
      <w:tr>
        <w:trPr>
          <w:trHeight w:val="2624" w:hRule="atLeast"/>
          <w:jc w:val="center"/>
        </w:trPr>
        <w:tc>
          <w:tcPr>
            <w:tcW w:w="52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842"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宁陵县应急管理局</w:t>
            </w:r>
          </w:p>
        </w:tc>
        <w:tc>
          <w:tcPr>
            <w:tcW w:w="2046" w:type="dxa"/>
            <w:vAlign w:val="bottom"/>
          </w:tcPr>
          <w:p>
            <w:pPr>
              <w:widowControl w:val="0"/>
              <w:wordWrap/>
              <w:autoSpaceDE w:val="0"/>
              <w:autoSpaceDN w:val="0"/>
              <w:adjustRightInd/>
              <w:snapToGrid/>
              <w:spacing w:before="0" w:line="240" w:lineRule="auto"/>
              <w:ind w:left="0" w:leftChars="0" w:right="0"/>
              <w:jc w:val="both"/>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安全生产管理机构和安全生产管理人员配备情况的检查</w:t>
            </w:r>
          </w:p>
        </w:tc>
        <w:tc>
          <w:tcPr>
            <w:tcW w:w="2986" w:type="dxa"/>
            <w:vAlign w:val="bottom"/>
          </w:tcPr>
          <w:p>
            <w:pPr>
              <w:widowControl w:val="0"/>
              <w:wordWrap/>
              <w:autoSpaceDE w:val="0"/>
              <w:autoSpaceDN w:val="0"/>
              <w:adjustRightInd/>
              <w:snapToGrid/>
              <w:spacing w:before="0" w:line="240" w:lineRule="auto"/>
              <w:ind w:left="0" w:leftChars="0" w:right="0"/>
              <w:jc w:val="both"/>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《中华人民共和国安全生产法》第二十四条</w:t>
            </w:r>
          </w:p>
        </w:tc>
        <w:tc>
          <w:tcPr>
            <w:tcW w:w="145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县级以上应急管理部门</w:t>
            </w:r>
          </w:p>
        </w:tc>
        <w:tc>
          <w:tcPr>
            <w:tcW w:w="1264"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一般检查事项</w:t>
            </w:r>
          </w:p>
        </w:tc>
        <w:tc>
          <w:tcPr>
            <w:tcW w:w="167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《国务院关于印发注册资本登记制度改革方案的通知》明确的暂不实行注册资本认缴登记制的行业企业</w:t>
            </w:r>
          </w:p>
        </w:tc>
        <w:tc>
          <w:tcPr>
            <w:tcW w:w="136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625"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p>
        </w:tc>
      </w:tr>
      <w:tr>
        <w:trPr>
          <w:trHeight w:val="1883" w:hRule="atLeast"/>
          <w:jc w:val="center"/>
        </w:trPr>
        <w:tc>
          <w:tcPr>
            <w:tcW w:w="52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842"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宁陵县应急管理局</w:t>
            </w:r>
          </w:p>
        </w:tc>
        <w:tc>
          <w:tcPr>
            <w:tcW w:w="204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安全生产教育和培训情况的检查</w:t>
            </w:r>
          </w:p>
        </w:tc>
        <w:tc>
          <w:tcPr>
            <w:tcW w:w="298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《中华人民共和国安全生产法》第二十八条</w:t>
            </w:r>
          </w:p>
        </w:tc>
        <w:tc>
          <w:tcPr>
            <w:tcW w:w="145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县级以上应急管理部门</w:t>
            </w:r>
          </w:p>
        </w:tc>
        <w:tc>
          <w:tcPr>
            <w:tcW w:w="1264"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一般检查事项</w:t>
            </w:r>
          </w:p>
        </w:tc>
        <w:tc>
          <w:tcPr>
            <w:tcW w:w="1673" w:type="dxa"/>
            <w:vAlign w:val="center"/>
          </w:tcPr>
          <w:p>
            <w:pPr>
              <w:widowControl w:val="0"/>
              <w:wordWrap/>
              <w:autoSpaceDE w:val="0"/>
              <w:autoSpaceDN w:val="0"/>
              <w:adjustRightInd/>
              <w:snapToGrid/>
              <w:spacing w:before="0" w:line="240" w:lineRule="auto"/>
              <w:ind w:left="0" w:leftChars="0" w:right="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危险化学品经营使用企业、工贸行业</w:t>
            </w:r>
          </w:p>
        </w:tc>
        <w:tc>
          <w:tcPr>
            <w:tcW w:w="136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625"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p>
        </w:tc>
      </w:tr>
      <w:tr>
        <w:trPr>
          <w:trHeight w:val="2190" w:hRule="atLeast"/>
          <w:jc w:val="center"/>
        </w:trPr>
        <w:tc>
          <w:tcPr>
            <w:tcW w:w="52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842"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宁陵县应急管理局</w:t>
            </w:r>
          </w:p>
        </w:tc>
        <w:tc>
          <w:tcPr>
            <w:tcW w:w="204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生产经营单位的主要负责人、安全生产管理机构以及安全生产管理人员履职情况</w:t>
            </w:r>
          </w:p>
        </w:tc>
        <w:tc>
          <w:tcPr>
            <w:tcW w:w="298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《中华人民共和国安全生产法》第二十一条、第二十五条</w:t>
            </w:r>
          </w:p>
        </w:tc>
        <w:tc>
          <w:tcPr>
            <w:tcW w:w="145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县级以上应急管理部门</w:t>
            </w:r>
          </w:p>
        </w:tc>
        <w:tc>
          <w:tcPr>
            <w:tcW w:w="1264"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一般检查事项</w:t>
            </w:r>
          </w:p>
        </w:tc>
        <w:tc>
          <w:tcPr>
            <w:tcW w:w="167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危险化学品经营使用企业、工贸行业</w:t>
            </w:r>
          </w:p>
        </w:tc>
        <w:tc>
          <w:tcPr>
            <w:tcW w:w="136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625"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p>
        </w:tc>
      </w:tr>
      <w:tr>
        <w:trPr>
          <w:trHeight w:val="1823" w:hRule="atLeast"/>
          <w:jc w:val="center"/>
        </w:trPr>
        <w:tc>
          <w:tcPr>
            <w:tcW w:w="52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1842"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宁陵县应急管理局</w:t>
            </w:r>
          </w:p>
        </w:tc>
        <w:tc>
          <w:tcPr>
            <w:tcW w:w="204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特种作业人员持证上岗情况的检查</w:t>
            </w:r>
          </w:p>
        </w:tc>
        <w:tc>
          <w:tcPr>
            <w:tcW w:w="298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《中华人民共和国安全生产法》第三十条</w:t>
            </w:r>
          </w:p>
        </w:tc>
        <w:tc>
          <w:tcPr>
            <w:tcW w:w="145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县级以上应急管理部门</w:t>
            </w:r>
          </w:p>
        </w:tc>
        <w:tc>
          <w:tcPr>
            <w:tcW w:w="1264"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一般检查事项</w:t>
            </w:r>
          </w:p>
        </w:tc>
        <w:tc>
          <w:tcPr>
            <w:tcW w:w="167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危险化学品经营使用企业、工贸行业</w:t>
            </w:r>
          </w:p>
        </w:tc>
        <w:tc>
          <w:tcPr>
            <w:tcW w:w="136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625"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p>
        </w:tc>
      </w:tr>
      <w:tr>
        <w:trPr>
          <w:trHeight w:val="1578" w:hRule="atLeast"/>
          <w:jc w:val="center"/>
        </w:trPr>
        <w:tc>
          <w:tcPr>
            <w:tcW w:w="52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1842"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宁陵县应急管理局</w:t>
            </w:r>
          </w:p>
        </w:tc>
        <w:tc>
          <w:tcPr>
            <w:tcW w:w="204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生产经营单位建立安全风险分级管控制度情况的检查</w:t>
            </w:r>
          </w:p>
        </w:tc>
        <w:tc>
          <w:tcPr>
            <w:tcW w:w="298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《中华人民共和国安全生产法》第十八条、第二十五条、第三十二条、第三十三条、第四十二条</w:t>
            </w:r>
          </w:p>
        </w:tc>
        <w:tc>
          <w:tcPr>
            <w:tcW w:w="145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县级以上应急管理部门</w:t>
            </w:r>
          </w:p>
        </w:tc>
        <w:tc>
          <w:tcPr>
            <w:tcW w:w="1264"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一般检查事项</w:t>
            </w:r>
          </w:p>
        </w:tc>
        <w:tc>
          <w:tcPr>
            <w:tcW w:w="167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危险化学品经营使用企业、工贸行业</w:t>
            </w:r>
          </w:p>
        </w:tc>
        <w:tc>
          <w:tcPr>
            <w:tcW w:w="136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625"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p>
        </w:tc>
      </w:tr>
      <w:tr>
        <w:trPr>
          <w:trHeight w:val="641" w:hRule="atLeast"/>
          <w:jc w:val="center"/>
        </w:trPr>
        <w:tc>
          <w:tcPr>
            <w:tcW w:w="52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1842"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宁陵县应急管理局</w:t>
            </w:r>
          </w:p>
        </w:tc>
        <w:tc>
          <w:tcPr>
            <w:tcW w:w="204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对危险化学品经营的监管</w:t>
            </w:r>
          </w:p>
        </w:tc>
        <w:tc>
          <w:tcPr>
            <w:tcW w:w="2986" w:type="dxa"/>
            <w:vAlign w:val="bottom"/>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中华人民共和国安全生产法》《危险化学品管理条例》《危险化学品经营许可证管理条例》《危险化学品重大危险源监督管理暂行规定》《易制毒化学品管理条例》《危险化学品安全使用许可证实施办法》《河南省安全生产条例》</w:t>
            </w:r>
          </w:p>
        </w:tc>
        <w:tc>
          <w:tcPr>
            <w:tcW w:w="1451"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县级以上应急管理部门</w:t>
            </w:r>
          </w:p>
        </w:tc>
        <w:tc>
          <w:tcPr>
            <w:tcW w:w="1264"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一般检查事项</w:t>
            </w:r>
          </w:p>
        </w:tc>
        <w:tc>
          <w:tcPr>
            <w:tcW w:w="167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危险化学品经营使用企业、工贸行业</w:t>
            </w:r>
          </w:p>
        </w:tc>
        <w:tc>
          <w:tcPr>
            <w:tcW w:w="1363"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现场检查</w:t>
            </w:r>
          </w:p>
        </w:tc>
        <w:tc>
          <w:tcPr>
            <w:tcW w:w="625" w:type="dxa"/>
            <w:vAlign w:val="center"/>
          </w:tcPr>
          <w:p>
            <w:pPr>
              <w:widowControl w:val="0"/>
              <w:wordWrap/>
              <w:autoSpaceDE w:val="0"/>
              <w:autoSpaceDN w:val="0"/>
              <w:adjustRightInd/>
              <w:snapToGrid/>
              <w:spacing w:before="0" w:line="240" w:lineRule="auto"/>
              <w:ind w:left="0" w:leftChars="0" w:right="0"/>
              <w:jc w:val="center"/>
              <w:textAlignment w:val="auto"/>
              <w:rPr>
                <w:rFonts w:hint="eastAsia" w:ascii="仿宋" w:hAnsi="仿宋" w:eastAsia="仿宋" w:cs="仿宋"/>
                <w:sz w:val="24"/>
                <w:szCs w:val="24"/>
                <w:lang w:val="en-US" w:eastAsia="zh-CN"/>
              </w:rPr>
            </w:pPr>
          </w:p>
        </w:tc>
      </w:tr>
    </w:tbl>
    <w:p>
      <w:pPr>
        <w:pStyle w:val="7"/>
        <w:ind w:left="0" w:leftChars="0" w:firstLine="0" w:firstLineChars="0"/>
        <w:sectPr>
          <w:pgSz w:w="16838" w:h="11906" w:orient="landscape"/>
          <w:pgMar w:top="1800" w:right="1440" w:bottom="1800" w:left="1440" w:header="851" w:footer="992" w:gutter="0"/>
          <w:cols w:space="720" w:num="1"/>
          <w:docGrid w:type="lines" w:linePitch="312"/>
        </w:sectPr>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tbl>
      <w:tblPr>
        <w:tblpPr w:leftFromText="180" w:rightFromText="180" w:vertAnchor="text" w:horzAnchor="page" w:tblpX="1637" w:tblpY="2035"/>
        <w:tblOverlap w:val="never"/>
        <w:tblW w:w="8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0"/>
        <w:gridCol w:w="4476"/>
      </w:tblGrid>
      <w:tr>
        <w:trPr>
          <w:trHeight w:val="617" w:hRule="atLeast"/>
        </w:trPr>
        <w:tc>
          <w:tcPr>
            <w:tcW w:w="4470" w:type="dxa"/>
            <w:tcBorders>
              <w:top w:val="single" w:color="auto" w:sz="8" w:space="0"/>
              <w:left w:val="nil"/>
              <w:bottom w:val="single" w:color="auto" w:sz="8" w:space="0"/>
              <w:right w:val="single" w:color="FFFFFF" w:sz="4" w:space="0"/>
            </w:tcBorders>
            <w:vAlign w:val="center"/>
          </w:tcPr>
          <w:p>
            <w:pPr>
              <w:widowControl/>
              <w:overflowPunct w:val="0"/>
              <w:ind w:firstLine="140" w:firstLineChars="50"/>
              <w:rPr>
                <w:rFonts w:ascii="仿宋_GB2312" w:eastAsia="仿宋_GB2312"/>
                <w:kern w:val="0"/>
                <w:sz w:val="28"/>
                <w:szCs w:val="28"/>
              </w:rPr>
            </w:pPr>
            <w:r>
              <w:rPr>
                <w:rFonts w:hint="eastAsia" w:ascii="仿宋_GB2312" w:hAnsi="Calibri" w:eastAsia="仿宋_GB2312"/>
                <w:sz w:val="28"/>
                <w:szCs w:val="28"/>
                <w:lang w:eastAsia="zh-CN"/>
              </w:rPr>
              <w:t>宁陵县</w:t>
            </w:r>
            <w:r>
              <w:rPr>
                <w:rFonts w:hint="eastAsia" w:ascii="仿宋_GB2312" w:eastAsia="仿宋_GB2312"/>
                <w:sz w:val="28"/>
                <w:szCs w:val="28"/>
                <w:lang w:val="en-US" w:eastAsia="zh-CN"/>
              </w:rPr>
              <w:t>应急</w:t>
            </w:r>
            <w:r>
              <w:rPr>
                <w:rFonts w:hint="eastAsia" w:ascii="仿宋_GB2312" w:hAnsi="Calibri" w:eastAsia="仿宋_GB2312"/>
                <w:sz w:val="28"/>
                <w:szCs w:val="28"/>
              </w:rPr>
              <w:t>管理局办公室</w:t>
            </w:r>
          </w:p>
        </w:tc>
        <w:tc>
          <w:tcPr>
            <w:tcW w:w="4476" w:type="dxa"/>
            <w:tcBorders>
              <w:top w:val="single" w:color="auto" w:sz="8" w:space="0"/>
              <w:left w:val="nil"/>
              <w:bottom w:val="single" w:color="auto" w:sz="8" w:space="0"/>
              <w:right w:val="nil"/>
            </w:tcBorders>
            <w:vAlign w:val="center"/>
          </w:tcPr>
          <w:p>
            <w:pPr>
              <w:widowControl/>
              <w:overflowPunct w:val="0"/>
              <w:ind w:right="140"/>
              <w:jc w:val="right"/>
              <w:rPr>
                <w:rFonts w:ascii="仿宋_GB2312" w:eastAsia="仿宋_GB2312"/>
                <w:kern w:val="0"/>
                <w:sz w:val="28"/>
                <w:szCs w:val="28"/>
              </w:rPr>
            </w:pPr>
            <w:r>
              <w:rPr>
                <w:rFonts w:hint="eastAsia" w:ascii="仿宋_GB2312" w:hAnsi="Calibri" w:eastAsia="仿宋_GB2312"/>
                <w:sz w:val="28"/>
                <w:szCs w:val="28"/>
              </w:rPr>
              <w:t>202</w:t>
            </w:r>
            <w:r>
              <w:rPr>
                <w:rFonts w:hint="eastAsia" w:ascii="仿宋_GB2312" w:eastAsia="仿宋_GB2312"/>
                <w:sz w:val="28"/>
                <w:szCs w:val="28"/>
                <w:lang w:val="en-US" w:eastAsia="zh-CN"/>
              </w:rPr>
              <w:t>3</w:t>
            </w:r>
            <w:r>
              <w:rPr>
                <w:rFonts w:hint="eastAsia" w:ascii="仿宋_GB2312" w:hAnsi="Calibri" w:eastAsia="仿宋_GB2312"/>
                <w:sz w:val="28"/>
                <w:szCs w:val="28"/>
              </w:rPr>
              <w:t>年</w:t>
            </w:r>
            <w:r>
              <w:rPr>
                <w:rFonts w:hint="eastAsia" w:ascii="仿宋_GB2312" w:eastAsia="仿宋_GB2312"/>
                <w:sz w:val="28"/>
                <w:szCs w:val="28"/>
                <w:lang w:val="en-US" w:eastAsia="zh-CN"/>
              </w:rPr>
              <w:t>6</w:t>
            </w:r>
            <w:r>
              <w:rPr>
                <w:rFonts w:hint="eastAsia" w:ascii="仿宋_GB2312" w:hAnsi="Calibri" w:eastAsia="仿宋_GB2312"/>
                <w:sz w:val="28"/>
                <w:szCs w:val="28"/>
              </w:rPr>
              <w:t>月</w:t>
            </w:r>
            <w:r>
              <w:rPr>
                <w:rFonts w:hint="eastAsia" w:ascii="仿宋_GB2312" w:eastAsia="仿宋_GB2312"/>
                <w:sz w:val="28"/>
                <w:szCs w:val="28"/>
                <w:lang w:val="en-US" w:eastAsia="zh-CN"/>
              </w:rPr>
              <w:t>17</w:t>
            </w:r>
            <w:r>
              <w:rPr>
                <w:rFonts w:hint="eastAsia" w:ascii="仿宋_GB2312" w:hAnsi="Calibri" w:eastAsia="仿宋_GB2312"/>
                <w:sz w:val="28"/>
                <w:szCs w:val="28"/>
              </w:rPr>
              <w:t xml:space="preserve">日印发  </w:t>
            </w:r>
          </w:p>
        </w:tc>
      </w:tr>
    </w:tbl>
    <w:p>
      <w:pPr>
        <w:pStyle w:val="7"/>
        <w:ind w:left="0" w:leftChars="0" w:firstLine="0" w:firstLineChars="0"/>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2"/>
        <w:sz w:val="18"/>
        <w:szCs w:val="22"/>
        <w:lang w:val="en-US" w:eastAsia="zh-CN" w:bidi="ar-SA"/>
      </w:rPr>
      <w:pict>
        <v:rect id="文本框 1" o:spid="_x0000_s1025" style="position:absolute;left:0;margin-top:0pt;height:144pt;width:144pt;mso-position-horizontal:righ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tyle>
  <w:style w:type="paragraph" w:styleId="2">
    <w:name w:val="Body Text"/>
    <w:basedOn w:val="1"/>
    <w:next w:val="3"/>
    <w:rPr>
      <w:rFonts w:ascii="仿宋_GB2312" w:hAnsi="仿宋_GB2312" w:eastAsia="仿宋_GB2312" w:cs="仿宋_GB2312"/>
      <w:sz w:val="32"/>
      <w:szCs w:val="32"/>
      <w:lang w:val="zh-CN" w:bidi="zh-CN"/>
    </w:rPr>
  </w:style>
  <w:style w:type="paragraph" w:customStyle="1" w:styleId="3">
    <w:name w:val="Body Text 2"/>
    <w:basedOn w:val="1"/>
    <w:pPr>
      <w:spacing w:after="120" w:line="480" w:lineRule="auto"/>
    </w:pPr>
  </w:style>
  <w:style w:type="paragraph" w:styleId="4">
    <w:name w:val="footer"/>
    <w:basedOn w:val="1"/>
    <w:pPr>
      <w:tabs>
        <w:tab w:val="center" w:pos="4153"/>
        <w:tab w:val="right" w:pos="8306"/>
      </w:tabs>
      <w:snapToGrid w:val="0"/>
      <w:jc w:val="left"/>
    </w:pPr>
    <w:rPr>
      <w:sz w:val="18"/>
    </w:rPr>
  </w:style>
  <w:style w:type="paragraph" w:styleId="5">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 Indent"/>
    <w:basedOn w:val="1"/>
    <w:pPr>
      <w:spacing w:after="120"/>
      <w:ind w:left="420" w:leftChars="200"/>
    </w:pPr>
  </w:style>
  <w:style w:type="paragraph" w:customStyle="1" w:styleId="8">
    <w:name w:val="Message Header"/>
    <w:basedOn w:val="1"/>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customStyle="1" w:styleId="9">
    <w:name w:val="Normal (Web)"/>
    <w:basedOn w:val="1"/>
    <w:pPr>
      <w:widowControl/>
      <w:jc w:val="left"/>
    </w:pPr>
    <w:rPr>
      <w:rFonts w:ascii="宋体" w:hAnsi="宋体" w:cs="宋体"/>
      <w:kern w:val="0"/>
      <w:sz w:val="24"/>
    </w:rPr>
  </w:style>
  <w:style w:type="paragraph" w:customStyle="1" w:styleId="10">
    <w:name w:val="Body Text First Indent 2"/>
    <w:basedOn w:val="7"/>
    <w:pPr>
      <w:ind w:firstLine="420" w:firstLineChars="200"/>
    </w:pPr>
    <w:rPr>
      <w:rFonts w:eastAsia="宋体"/>
      <w:w w:val="88"/>
      <w:kern w:val="2"/>
      <w:sz w:val="21"/>
      <w:szCs w:val="21"/>
    </w:rPr>
  </w:style>
  <w:style w:type="paragraph" w:customStyle="1" w:styleId="11">
    <w:name w:val="正文缩进1"/>
    <w:basedOn w:val="1"/>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1313</Words>
  <Characters>1335</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2022-05-17T18:00:00Z</dcterms:created>
  <dc:creator>瑞vivo手机专卖，手机维修</dc:creator>
  <cp:lastPrinted>2022-05-19T16:22:00Z</cp:lastPrinted>
  <dcterms:modified xsi:type="dcterms:W3CDTF">2023-07-05T17:39:24Z</dcterms:modified>
  <dc:title>长风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BFFEB381B33E499FA2DD974E152E4DBB</vt:lpwstr>
  </property>
</Properties>
</file>