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hAnsi="仿宋_GB2312" w:eastAsia="仿宋_GB2312" w:cs="仿宋_GB2312"/>
          <w:color w:val="000000"/>
          <w:kern w:val="0"/>
          <w:sz w:val="32"/>
          <w:szCs w:val="32"/>
        </w:rPr>
      </w:pPr>
      <w:r>
        <w:rPr>
          <w:rFonts w:hint="eastAsia" w:ascii="宋体" w:hAnsi="宋体" w:eastAsia="宋体" w:cs="宋体"/>
          <w:b/>
          <w:bCs w:val="0"/>
          <w:color w:val="FF0000"/>
          <w:w w:val="60"/>
          <w:sz w:val="144"/>
          <w:szCs w:val="144"/>
          <w:lang w:eastAsia="zh-CN"/>
        </w:rPr>
        <w:t>宁陵县</w:t>
      </w:r>
      <w:r>
        <w:rPr>
          <w:rFonts w:hint="eastAsia" w:ascii="宋体" w:hAnsi="宋体" w:eastAsia="宋体" w:cs="宋体"/>
          <w:b/>
          <w:bCs w:val="0"/>
          <w:color w:val="FF0000"/>
          <w:w w:val="60"/>
          <w:sz w:val="144"/>
          <w:szCs w:val="144"/>
          <w:lang w:val="en-US" w:eastAsia="zh-CN"/>
        </w:rPr>
        <w:t>应急管理局</w:t>
      </w:r>
      <w:r>
        <w:rPr>
          <w:rFonts w:hint="eastAsia" w:ascii="宋体" w:hAnsi="宋体" w:eastAsia="宋体" w:cs="宋体"/>
          <w:b/>
          <w:bCs w:val="0"/>
          <w:color w:val="FF0000"/>
          <w:w w:val="60"/>
          <w:sz w:val="144"/>
          <w:szCs w:val="144"/>
          <w:lang w:eastAsia="zh-CN"/>
        </w:rPr>
        <w:t>文件</w:t>
      </w:r>
    </w:p>
    <w:p>
      <w:pPr>
        <w:widowControl/>
        <w:spacing w:before="100" w:beforeAutospacing="1" w:after="100" w:afterAutospacing="1" w:line="360" w:lineRule="atLeast"/>
        <w:jc w:val="center"/>
        <w:rPr>
          <w:rFonts w:hint="eastAsia" w:ascii="宋体" w:hAnsi="宋体" w:cs="宋体"/>
          <w:color w:val="000000"/>
          <w:kern w:val="0"/>
          <w:sz w:val="32"/>
          <w:szCs w:val="32"/>
        </w:rPr>
      </w:pPr>
      <w:r>
        <w:rPr>
          <w:rFonts w:ascii="Calibri" w:hAnsi="Calibri" w:eastAsia="宋体" w:cs="Times New Roman"/>
          <w:sz w:val="4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2735580</wp:posOffset>
                </wp:positionH>
                <wp:positionV relativeFrom="paragraph">
                  <wp:posOffset>650240</wp:posOffset>
                </wp:positionV>
                <wp:extent cx="257810" cy="257810"/>
                <wp:effectExtent l="19050" t="21590" r="27940" b="25400"/>
                <wp:wrapNone/>
                <wp:docPr id="1" name="五角星 1"/>
                <wp:cNvGraphicFramePr/>
                <a:graphic xmlns:a="http://schemas.openxmlformats.org/drawingml/2006/main">
                  <a:graphicData uri="http://schemas.microsoft.com/office/word/2010/wordprocessingShape">
                    <wps:wsp>
                      <wps:cNvSpPr/>
                      <wps:spPr>
                        <a:xfrm>
                          <a:off x="0" y="0"/>
                          <a:ext cx="257810" cy="257810"/>
                        </a:xfrm>
                        <a:prstGeom prst="star5">
                          <a:avLst/>
                        </a:prstGeom>
                        <a:solidFill>
                          <a:srgbClr val="FF0000"/>
                        </a:solidFill>
                        <a:ln w="12700" cap="flat" cmpd="sng">
                          <a:solidFill>
                            <a:srgbClr val="FF0000"/>
                          </a:solidFill>
                          <a:prstDash val="solid"/>
                          <a:miter/>
                          <a:headEnd type="none" w="med" len="med"/>
                          <a:tailEnd type="none" w="med" len="med"/>
                        </a:ln>
                      </wps:spPr>
                      <wps:bodyPr upright="0"/>
                    </wps:wsp>
                  </a:graphicData>
                </a:graphic>
              </wp:anchor>
            </w:drawing>
          </mc:Choice>
          <mc:Fallback>
            <w:pict>
              <v:shape id="_x0000_s1026" o:spid="_x0000_s1026" style="position:absolute;left:0pt;margin-left:215.4pt;margin-top:51.2pt;height:20.3pt;width:20.3pt;z-index:251659264;mso-width-relative:page;mso-height-relative:page;" fillcolor="#FF0000" filled="t" stroked="t" coordsize="257810,257810" o:gfxdata="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VaJtdYAAAALAQAADwAA&#10;AAAAAAABACAAAAAiAAAAZHJzL2Rvd25yZXYueG1sUEsBAhQAFAAAAAgAh07iQP729OvfAQAA1AMA&#10;AA4AAAAAAAAAAQAgAAAAJQEAAGRycy9lMm9Eb2MueG1sUEsFBgAAAAAGAAYAWQEAAHYFAAAAAA==&#10;" path="m0,98474l98475,98475,128905,0,159334,98475,257809,98474,178141,159334,208572,257809,128905,196947,49237,257809,79668,159334xe">
                <v:path o:connectlocs="128905,0;0,98474;49237,257809;208572,257809;257809,98474" o:connectangles="247,164,82,82,0"/>
                <v:fill on="t" focussize="0,0"/>
                <v:stroke weight="1pt" color="#FF0000" joinstyle="miter"/>
                <v:imagedata o:title=""/>
                <o:lock v:ext="edit" aspectratio="f"/>
              </v:shape>
            </w:pict>
          </mc:Fallback>
        </mc:AlternateContent>
      </w:r>
      <w:r>
        <w:rPr>
          <w:rFonts w:hint="eastAsia" w:ascii="仿宋_GB2312" w:hAnsi="仿宋_GB2312" w:eastAsia="仿宋_GB2312" w:cs="仿宋_GB2312"/>
          <w:color w:val="000000"/>
          <w:kern w:val="0"/>
          <w:sz w:val="32"/>
          <w:szCs w:val="32"/>
        </w:rPr>
        <w:t>宁</w:t>
      </w:r>
      <w:r>
        <w:rPr>
          <w:rFonts w:hint="eastAsia" w:ascii="仿宋_GB2312" w:hAnsi="仿宋_GB2312" w:eastAsia="仿宋_GB2312" w:cs="仿宋_GB2312"/>
          <w:color w:val="000000"/>
          <w:kern w:val="0"/>
          <w:sz w:val="32"/>
          <w:szCs w:val="32"/>
          <w:lang w:val="en-US" w:eastAsia="zh-CN"/>
        </w:rPr>
        <w:t>应急</w:t>
      </w:r>
      <w:r>
        <w:rPr>
          <w:rFonts w:hint="eastAsia" w:ascii="仿宋_GB2312" w:hAnsi="仿宋_GB2312" w:eastAsia="仿宋_GB2312" w:cs="仿宋_GB2312"/>
          <w:color w:val="000000"/>
          <w:kern w:val="0"/>
          <w:sz w:val="32"/>
        </w:rPr>
        <w:t>〔</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rPr>
        <w:t>〕</w:t>
      </w:r>
      <w:r>
        <w:rPr>
          <w:rFonts w:hint="eastAsia" w:ascii="仿宋_GB2312" w:hAnsi="仿宋_GB2312" w:eastAsia="仿宋_GB2312" w:cs="仿宋_GB2312"/>
          <w:color w:val="000000"/>
          <w:kern w:val="0"/>
          <w:sz w:val="32"/>
          <w:lang w:val="en-US" w:eastAsia="zh-CN"/>
        </w:rPr>
        <w:t>54</w:t>
      </w:r>
      <w:r>
        <w:rPr>
          <w:rFonts w:hint="eastAsia" w:ascii="仿宋_GB2312" w:hAnsi="仿宋_GB2312" w:eastAsia="仿宋_GB2312" w:cs="仿宋_GB2312"/>
          <w:color w:val="000000"/>
          <w:kern w:val="0"/>
          <w:sz w:val="32"/>
          <w:szCs w:val="32"/>
        </w:rPr>
        <w:t>号</w:t>
      </w:r>
    </w:p>
    <w:p>
      <w:pPr>
        <w:jc w:val="center"/>
        <w:rPr>
          <w:rFonts w:ascii="仿宋" w:hAnsi="仿宋" w:eastAsia="仿宋" w:cs="仿宋"/>
          <w:sz w:val="32"/>
          <w:szCs w:val="32"/>
        </w:rPr>
      </w:pPr>
      <w:r>
        <w:rPr>
          <w:rFonts w:ascii="Calibri" w:hAnsi="Calibri" w:eastAsia="宋体" w:cs="Times New Roman"/>
          <w:sz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3089910</wp:posOffset>
                </wp:positionH>
                <wp:positionV relativeFrom="paragraph">
                  <wp:posOffset>71755</wp:posOffset>
                </wp:positionV>
                <wp:extent cx="2621280" cy="1778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621280" cy="17780"/>
                        </a:xfrm>
                        <a:prstGeom prst="line">
                          <a:avLst/>
                        </a:prstGeom>
                        <a:ln w="19050"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243.3pt;margin-top:5.65pt;height:1.4pt;width:206.4pt;z-index:251661312;mso-width-relative:page;mso-height-relative:page;" filled="f" stroked="t" coordsize="21600,21600" o:gfxdata="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WrF2AAA&#10;AAkBAAAPAAAAAAAAAAEAIAAAACIAAABkcnMvZG93bnJldi54bWxQSwECFAAUAAAACACHTuJAxp6T&#10;F+UBAAClAwAADgAAAAAAAAABACAAAAAnAQAAZHJzL2Uyb0RvYy54bWxQSwUGAAAAAAYABgBZAQAA&#10;fgUAAAAA&#10;">
                <v:fill on="f" focussize="0,0"/>
                <v:stroke weight="1.5pt" color="#FF0000" joinstyle="round"/>
                <v:imagedata o:title=""/>
                <o:lock v:ext="edit" aspectratio="f"/>
              </v:line>
            </w:pict>
          </mc:Fallback>
        </mc:AlternateContent>
      </w:r>
      <w:r>
        <w:rPr>
          <w:rFonts w:ascii="Calibri" w:hAnsi="Calibri" w:eastAsia="宋体" w:cs="Times New Roman"/>
          <w:sz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70485</wp:posOffset>
                </wp:positionV>
                <wp:extent cx="2638425" cy="19050"/>
                <wp:effectExtent l="0" t="9525" r="9525" b="9525"/>
                <wp:wrapNone/>
                <wp:docPr id="2" name="直接连接符 2"/>
                <wp:cNvGraphicFramePr/>
                <a:graphic xmlns:a="http://schemas.openxmlformats.org/drawingml/2006/main">
                  <a:graphicData uri="http://schemas.microsoft.com/office/word/2010/wordprocessingShape">
                    <wps:wsp>
                      <wps:cNvCnPr/>
                      <wps:spPr>
                        <a:xfrm>
                          <a:off x="0" y="0"/>
                          <a:ext cx="2638425" cy="19050"/>
                        </a:xfrm>
                        <a:prstGeom prst="line">
                          <a:avLst/>
                        </a:prstGeom>
                        <a:ln w="19050"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2pt;margin-top:5.55pt;height:1.5pt;width:207.75pt;z-index:251660288;mso-width-relative:page;mso-height-relative:page;" filled="f" stroked="t" coordsize="21600,21600" o:gfxdata="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Aj/wvXAAAACAEAAA8A&#10;AAAAAAAAAQAgAAAAIgAAAGRycy9kb3ducmV2LnhtbFBLAQIUABQAAAAIAIdO4kCbo1Qe3wEAAJsD&#10;AAAOAAAAAAAAAAEAIAAAACYBAABkcnMvZTJvRG9jLnhtbFBLBQYAAAAABgAGAFkBAAB3BQAAAAA=&#10;">
                <v:fill on="f" focussize="0,0"/>
                <v:stroke weight="1.5pt" color="#FF0000" joinstyle="round"/>
                <v:imagedata o:title=""/>
                <o:lock v:ext="edit" aspectratio="f"/>
              </v:line>
            </w:pict>
          </mc:Fallback>
        </mc:AlternateContent>
      </w:r>
    </w:p>
    <w:p>
      <w:pPr>
        <w:spacing w:before="149" w:line="219" w:lineRule="auto"/>
        <w:ind w:left="2826"/>
        <w:rPr>
          <w:rFonts w:hint="eastAsia" w:ascii="宋体" w:hAnsi="宋体" w:eastAsia="宋体" w:cs="宋体"/>
          <w:sz w:val="44"/>
          <w:szCs w:val="44"/>
        </w:rPr>
      </w:pPr>
      <w:r>
        <w:rPr>
          <w:rFonts w:hint="eastAsia" w:ascii="宋体" w:hAnsi="宋体" w:eastAsia="宋体" w:cs="宋体"/>
          <w:b/>
          <w:bCs/>
          <w:spacing w:val="-26"/>
          <w:sz w:val="44"/>
          <w:szCs w:val="44"/>
          <w:lang w:val="en-US" w:eastAsia="zh-CN"/>
        </w:rPr>
        <w:t>宁陵县</w:t>
      </w:r>
      <w:r>
        <w:rPr>
          <w:rFonts w:hint="eastAsia" w:ascii="宋体" w:hAnsi="宋体" w:eastAsia="宋体" w:cs="宋体"/>
          <w:b/>
          <w:bCs/>
          <w:spacing w:val="-26"/>
          <w:sz w:val="44"/>
          <w:szCs w:val="44"/>
        </w:rPr>
        <w:t>应急管理局</w:t>
      </w:r>
    </w:p>
    <w:p>
      <w:pPr>
        <w:spacing w:before="84" w:line="219" w:lineRule="auto"/>
        <w:ind w:left="376"/>
        <w:rPr>
          <w:rFonts w:hint="eastAsia" w:ascii="宋体" w:hAnsi="宋体" w:eastAsia="宋体" w:cs="宋体"/>
          <w:sz w:val="44"/>
          <w:szCs w:val="44"/>
        </w:rPr>
      </w:pPr>
      <w:r>
        <w:rPr>
          <w:rFonts w:hint="eastAsia" w:ascii="宋体" w:hAnsi="宋体" w:eastAsia="宋体" w:cs="宋体"/>
          <w:b/>
          <w:bCs/>
          <w:spacing w:val="-22"/>
          <w:sz w:val="44"/>
          <w:szCs w:val="44"/>
        </w:rPr>
        <w:t>关于修订安全生产和救灾领域基层政务公开</w:t>
      </w:r>
    </w:p>
    <w:p>
      <w:pPr>
        <w:spacing w:before="46" w:line="220" w:lineRule="auto"/>
        <w:ind w:left="3046"/>
        <w:rPr>
          <w:rFonts w:hint="eastAsia" w:ascii="仿宋" w:hAnsi="仿宋" w:eastAsia="仿宋" w:cs="仿宋"/>
          <w:sz w:val="32"/>
          <w:szCs w:val="32"/>
        </w:rPr>
      </w:pPr>
      <w:r>
        <w:rPr>
          <w:rFonts w:hint="eastAsia" w:ascii="宋体" w:hAnsi="宋体" w:eastAsia="宋体" w:cs="宋体"/>
          <w:b/>
          <w:bCs/>
          <w:spacing w:val="-22"/>
          <w:sz w:val="44"/>
          <w:szCs w:val="44"/>
        </w:rPr>
        <w:t>标准目录的通知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股</w:t>
      </w:r>
      <w:r>
        <w:rPr>
          <w:rFonts w:hint="eastAsia" w:ascii="仿宋" w:hAnsi="仿宋" w:eastAsia="仿宋" w:cs="仿宋"/>
          <w:sz w:val="32"/>
          <w:szCs w:val="32"/>
        </w:rPr>
        <w:t>(</w:t>
      </w:r>
      <w:r>
        <w:rPr>
          <w:rFonts w:hint="eastAsia" w:ascii="仿宋" w:hAnsi="仿宋" w:eastAsia="仿宋" w:cs="仿宋"/>
          <w:sz w:val="32"/>
          <w:szCs w:val="32"/>
          <w:lang w:val="en-US" w:eastAsia="zh-CN"/>
        </w:rPr>
        <w:t>室</w:t>
      </w:r>
      <w:r>
        <w:rPr>
          <w:rFonts w:hint="eastAsia" w:ascii="仿宋" w:hAnsi="仿宋" w:eastAsia="仿宋" w:cs="仿宋"/>
          <w:sz w:val="32"/>
          <w:szCs w:val="32"/>
        </w:rPr>
        <w:t>、</w:t>
      </w:r>
      <w:r>
        <w:rPr>
          <w:rFonts w:hint="eastAsia" w:ascii="仿宋" w:hAnsi="仿宋" w:eastAsia="仿宋" w:cs="仿宋"/>
          <w:sz w:val="32"/>
          <w:szCs w:val="32"/>
          <w:lang w:val="en-US" w:eastAsia="zh-CN"/>
        </w:rPr>
        <w:t>队、中心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根据《应急管理部办公厅关于印发&lt;安全生产和救灾领域基 层政务公开标准目录的通知&gt;》(应急厅函〔2019〕390号)和《商 丘市人民政府办公室关于调整完善基层政务公开标准目录的通 知》(商政办明电〔2023〕32号)要求，我局结合我</w:t>
      </w:r>
      <w:r>
        <w:rPr>
          <w:rFonts w:hint="eastAsia" w:ascii="仿宋" w:hAnsi="仿宋" w:eastAsia="仿宋" w:cs="仿宋"/>
          <w:sz w:val="32"/>
          <w:szCs w:val="32"/>
          <w:lang w:val="en-US" w:eastAsia="zh-CN"/>
        </w:rPr>
        <w:t>县</w:t>
      </w:r>
      <w:r>
        <w:rPr>
          <w:rFonts w:hint="eastAsia" w:ascii="仿宋" w:hAnsi="仿宋" w:eastAsia="仿宋" w:cs="仿宋"/>
          <w:sz w:val="32"/>
          <w:szCs w:val="32"/>
        </w:rPr>
        <w:t>实际，修订了《</w:t>
      </w:r>
      <w:r>
        <w:rPr>
          <w:rFonts w:hint="eastAsia" w:ascii="仿宋" w:hAnsi="仿宋" w:eastAsia="仿宋" w:cs="仿宋"/>
          <w:sz w:val="32"/>
          <w:szCs w:val="32"/>
          <w:lang w:val="en-US" w:eastAsia="zh-CN"/>
        </w:rPr>
        <w:t>宁陵县</w:t>
      </w:r>
      <w:r>
        <w:rPr>
          <w:rFonts w:hint="eastAsia" w:ascii="仿宋" w:hAnsi="仿宋" w:eastAsia="仿宋" w:cs="仿宋"/>
          <w:sz w:val="32"/>
          <w:szCs w:val="32"/>
        </w:rPr>
        <w:t>安全生产和救灾领域基层政务公开标准目录》(以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下简称《目录》),现就有关事项通知如下。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《目录》明确了安全生产领域涉及政策文件、依法行政、行政管理、</w:t>
      </w:r>
      <w:r>
        <w:rPr>
          <w:rFonts w:hint="eastAsia" w:ascii="仿宋" w:hAnsi="仿宋" w:eastAsia="仿宋" w:cs="仿宋"/>
          <w:sz w:val="32"/>
          <w:szCs w:val="32"/>
          <w:lang w:val="en-US" w:eastAsia="zh-CN"/>
        </w:rPr>
        <w:t>公共服务、</w:t>
      </w:r>
      <w:r>
        <w:rPr>
          <w:rFonts w:hint="eastAsia" w:ascii="仿宋" w:hAnsi="仿宋" w:eastAsia="仿宋" w:cs="仿宋"/>
          <w:sz w:val="32"/>
          <w:szCs w:val="32"/>
        </w:rPr>
        <w:t>重点领域信息公开</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rPr>
        <w:t>类一级事项和</w:t>
      </w:r>
      <w:r>
        <w:rPr>
          <w:rFonts w:hint="eastAsia" w:ascii="仿宋" w:hAnsi="仿宋" w:eastAsia="仿宋" w:cs="仿宋"/>
          <w:sz w:val="32"/>
          <w:szCs w:val="32"/>
          <w:highlight w:val="none"/>
          <w:lang w:val="en-US" w:eastAsia="zh-CN"/>
        </w:rPr>
        <w:t>27</w:t>
      </w:r>
      <w:r>
        <w:rPr>
          <w:rFonts w:hint="eastAsia" w:ascii="仿宋" w:hAnsi="仿宋" w:eastAsia="仿宋" w:cs="仿宋"/>
          <w:sz w:val="32"/>
          <w:szCs w:val="32"/>
        </w:rPr>
        <w:t>类二级事项；救灾领域涉及政策文件、备灾管理、灾后救助等</w:t>
      </w:r>
      <w:r>
        <w:rPr>
          <w:rFonts w:hint="eastAsia" w:ascii="仿宋" w:hAnsi="仿宋" w:eastAsia="仿宋" w:cs="仿宋"/>
          <w:sz w:val="32"/>
          <w:szCs w:val="32"/>
          <w:highlight w:val="none"/>
        </w:rPr>
        <w:t>5</w:t>
      </w:r>
      <w:r>
        <w:rPr>
          <w:rFonts w:hint="eastAsia" w:ascii="仿宋" w:hAnsi="仿宋" w:eastAsia="仿宋" w:cs="仿宋"/>
          <w:sz w:val="32"/>
          <w:szCs w:val="32"/>
        </w:rPr>
        <w:t>类一级事项和</w:t>
      </w:r>
      <w:r>
        <w:rPr>
          <w:rFonts w:hint="eastAsia" w:ascii="仿宋" w:hAnsi="仿宋" w:eastAsia="仿宋" w:cs="仿宋"/>
          <w:sz w:val="32"/>
          <w:szCs w:val="32"/>
          <w:highlight w:val="none"/>
          <w:lang w:val="en-US" w:eastAsia="zh-CN"/>
        </w:rPr>
        <w:t>18</w:t>
      </w:r>
      <w:r>
        <w:rPr>
          <w:rFonts w:hint="eastAsia" w:ascii="仿宋" w:hAnsi="仿宋" w:eastAsia="仿宋" w:cs="仿宋"/>
          <w:sz w:val="32"/>
          <w:szCs w:val="32"/>
        </w:rPr>
        <w:t>类二级事项。按照公开内容、公开依据、公开时限、公开主体、公开渠道、公开对象和公开方式等标准，逐项梳理出安全生产和救灾领域基层政务公开目录清单。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本《目录》相较于应急管理部制定的标准目录主要依据我</w:t>
      </w:r>
      <w:r>
        <w:rPr>
          <w:rFonts w:hint="eastAsia" w:ascii="仿宋" w:hAnsi="仿宋" w:eastAsia="仿宋" w:cs="仿宋"/>
          <w:sz w:val="32"/>
          <w:szCs w:val="32"/>
          <w:lang w:val="en-US" w:eastAsia="zh-CN"/>
        </w:rPr>
        <w:t>县</w:t>
      </w:r>
      <w:r>
        <w:rPr>
          <w:rFonts w:hint="eastAsia" w:ascii="仿宋" w:hAnsi="仿宋" w:eastAsia="仿宋" w:cs="仿宋"/>
          <w:sz w:val="32"/>
          <w:szCs w:val="32"/>
        </w:rPr>
        <w:t>实际做如下修订：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一是根据我</w:t>
      </w:r>
      <w:r>
        <w:rPr>
          <w:rFonts w:hint="eastAsia" w:ascii="仿宋" w:hAnsi="仿宋" w:eastAsia="仿宋" w:cs="仿宋"/>
          <w:sz w:val="32"/>
          <w:szCs w:val="32"/>
          <w:lang w:val="en-US" w:eastAsia="zh-CN"/>
        </w:rPr>
        <w:t>县</w:t>
      </w:r>
      <w:r>
        <w:rPr>
          <w:rFonts w:hint="eastAsia" w:ascii="仿宋" w:hAnsi="仿宋" w:eastAsia="仿宋" w:cs="仿宋"/>
          <w:sz w:val="32"/>
          <w:szCs w:val="32"/>
        </w:rPr>
        <w:t>实际，将“法律法规”和“部门和地方规章”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修改为“部门文件”;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二是根据工作实际，将公开依据中的《社会信用体系建设规 划纲要(2014-2020年)》《国家综合防灾减灾规划(2016-2020 年)》修改为《社会信用体系建设规划纲要》《国家综合防灾减灾规划》。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县级安全生产和救灾管理部门要按照决策、执行、管理、服务、 结果“五公开”要求，依托县级政府门户网站，利用统一的政府信息公开平台集中发布、公开安全生产和救灾领域信息。可结合实际，对照《目录》内容，提出具体要求，明确具体公开流程，建立健全信息公开审查机制，有序推动《目录》的发布和应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宁陵县</w:t>
      </w:r>
      <w:r>
        <w:rPr>
          <w:rFonts w:hint="eastAsia" w:ascii="仿宋" w:hAnsi="仿宋" w:eastAsia="仿宋" w:cs="仿宋"/>
          <w:sz w:val="32"/>
          <w:szCs w:val="32"/>
        </w:rPr>
        <w:t>安全生产领域基层政务公开标准目录(2023版)</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宁陵县</w:t>
      </w:r>
      <w:r>
        <w:rPr>
          <w:rFonts w:hint="eastAsia" w:ascii="仿宋" w:hAnsi="仿宋" w:eastAsia="仿宋" w:cs="仿宋"/>
          <w:sz w:val="32"/>
          <w:szCs w:val="32"/>
        </w:rPr>
        <w:t>救灾领域基层政务公开标准目录(2023版)</w:t>
      </w:r>
    </w:p>
    <w:p>
      <w:pPr>
        <w:spacing w:line="264" w:lineRule="auto"/>
        <w:rPr>
          <w:rFonts w:ascii="Arial"/>
          <w:sz w:val="21"/>
        </w:rPr>
      </w:pPr>
    </w:p>
    <w:p>
      <w:pPr>
        <w:pStyle w:val="3"/>
        <w:spacing w:before="228" w:line="220" w:lineRule="auto"/>
        <w:ind w:left="770"/>
        <w:rPr>
          <w:sz w:val="31"/>
          <w:szCs w:val="31"/>
        </w:rPr>
      </w:pPr>
      <w:r>
        <w:rPr>
          <w:rFonts w:hint="eastAsia" w:ascii="宋体" w:hAnsi="宋体" w:eastAsia="宋体" w:cs="宋体"/>
          <w:b/>
          <w:bCs w:val="0"/>
          <w:color w:val="FF0000"/>
          <w:w w:val="60"/>
          <w:sz w:val="144"/>
          <w:szCs w:val="144"/>
          <w:lang w:eastAsia="zh-CN"/>
        </w:rPr>
        <w:drawing>
          <wp:anchor distT="0" distB="0" distL="114300" distR="114300" simplePos="0" relativeHeight="251662336" behindDoc="0" locked="0" layoutInCell="1" allowOverlap="1">
            <wp:simplePos x="0" y="0"/>
            <wp:positionH relativeFrom="column">
              <wp:posOffset>3371850</wp:posOffset>
            </wp:positionH>
            <wp:positionV relativeFrom="paragraph">
              <wp:posOffset>170180</wp:posOffset>
            </wp:positionV>
            <wp:extent cx="1918335" cy="1956435"/>
            <wp:effectExtent l="0" t="0" r="0" b="0"/>
            <wp:wrapNone/>
            <wp:docPr id="6" name="图片 6" descr="单位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单位公章"/>
                    <pic:cNvPicPr>
                      <a:picLocks noChangeAspect="1"/>
                    </pic:cNvPicPr>
                  </pic:nvPicPr>
                  <pic:blipFill>
                    <a:blip r:embed="rId6"/>
                    <a:stretch>
                      <a:fillRect/>
                    </a:stretch>
                  </pic:blipFill>
                  <pic:spPr>
                    <a:xfrm>
                      <a:off x="0" y="0"/>
                      <a:ext cx="1918335" cy="1956435"/>
                    </a:xfrm>
                    <a:prstGeom prst="rect">
                      <a:avLst/>
                    </a:prstGeom>
                  </pic:spPr>
                </pic:pic>
              </a:graphicData>
            </a:graphic>
          </wp:anchor>
        </w:drawing>
      </w:r>
      <w:r>
        <w:rPr>
          <w:b/>
          <w:bCs/>
          <w:spacing w:val="13"/>
          <w:sz w:val="31"/>
          <w:szCs w:val="31"/>
        </w:rPr>
        <w:t>(此件公开发布)</w:t>
      </w:r>
    </w:p>
    <w:p>
      <w:pPr>
        <w:spacing w:line="265" w:lineRule="auto"/>
        <w:rPr>
          <w:rFonts w:ascii="Arial"/>
          <w:sz w:val="21"/>
        </w:rPr>
      </w:pPr>
    </w:p>
    <w:p>
      <w:pPr>
        <w:pStyle w:val="3"/>
        <w:spacing w:before="101" w:line="222" w:lineRule="auto"/>
        <w:ind w:left="5105" w:firstLine="322" w:firstLineChars="100"/>
        <w:rPr>
          <w:rFonts w:hint="eastAsia" w:eastAsia="宋体"/>
          <w:spacing w:val="6"/>
          <w:sz w:val="31"/>
          <w:szCs w:val="31"/>
          <w:lang w:val="en-US" w:eastAsia="zh-CN"/>
        </w:rPr>
      </w:pPr>
      <w:bookmarkStart w:id="0" w:name="_GoBack"/>
      <w:bookmarkEnd w:id="0"/>
    </w:p>
    <w:p>
      <w:pPr>
        <w:pStyle w:val="3"/>
        <w:spacing w:before="101" w:line="222" w:lineRule="auto"/>
        <w:ind w:left="5105" w:firstLine="322" w:firstLineChars="100"/>
        <w:rPr>
          <w:sz w:val="31"/>
          <w:szCs w:val="31"/>
        </w:rPr>
      </w:pPr>
      <w:r>
        <w:rPr>
          <w:rFonts w:hint="eastAsia" w:eastAsia="宋体"/>
          <w:spacing w:val="6"/>
          <w:sz w:val="31"/>
          <w:szCs w:val="31"/>
          <w:lang w:val="en-US" w:eastAsia="zh-CN"/>
        </w:rPr>
        <w:t>宁陵县</w:t>
      </w:r>
      <w:r>
        <w:rPr>
          <w:spacing w:val="6"/>
          <w:sz w:val="31"/>
          <w:szCs w:val="31"/>
        </w:rPr>
        <w:t>应急管理局</w:t>
      </w:r>
    </w:p>
    <w:p>
      <w:pPr>
        <w:pStyle w:val="3"/>
        <w:spacing w:before="187" w:line="222" w:lineRule="auto"/>
        <w:ind w:left="5135"/>
        <w:rPr>
          <w:sz w:val="31"/>
          <w:szCs w:val="31"/>
        </w:rPr>
      </w:pPr>
      <w:r>
        <w:rPr>
          <w:spacing w:val="40"/>
          <w:sz w:val="31"/>
          <w:szCs w:val="31"/>
        </w:rPr>
        <w:t>2023年10月31日</w:t>
      </w:r>
    </w:p>
    <w:p>
      <w:pPr>
        <w:spacing w:line="220" w:lineRule="auto"/>
        <w:rPr>
          <w:sz w:val="31"/>
          <w:szCs w:val="31"/>
        </w:rPr>
        <w:sectPr>
          <w:footerReference r:id="rId3" w:type="default"/>
          <w:pgSz w:w="11940" w:h="16360"/>
          <w:pgMar w:top="1390" w:right="1445" w:bottom="1837" w:left="1584" w:header="0" w:footer="1529" w:gutter="0"/>
          <w:pgNumType w:fmt="numberInDash"/>
          <w:cols w:space="720" w:num="1"/>
        </w:sectPr>
      </w:pPr>
    </w:p>
    <w:p>
      <w:pPr>
        <w:spacing w:line="245" w:lineRule="auto"/>
        <w:rPr>
          <w:rFonts w:ascii="Arial"/>
          <w:sz w:val="21"/>
        </w:rPr>
      </w:pPr>
    </w:p>
    <w:p>
      <w:pPr>
        <w:spacing w:line="245" w:lineRule="auto"/>
        <w:rPr>
          <w:rFonts w:ascii="Arial"/>
          <w:sz w:val="21"/>
        </w:rPr>
      </w:pPr>
    </w:p>
    <w:p>
      <w:pPr>
        <w:spacing w:before="104" w:line="224" w:lineRule="auto"/>
        <w:ind w:left="1109"/>
        <w:rPr>
          <w:rFonts w:ascii="黑体" w:hAnsi="黑体" w:eastAsia="黑体" w:cs="黑体"/>
          <w:sz w:val="32"/>
          <w:szCs w:val="32"/>
        </w:rPr>
      </w:pPr>
      <w:r>
        <w:rPr>
          <w:rFonts w:ascii="黑体" w:hAnsi="黑体" w:eastAsia="黑体" w:cs="黑体"/>
          <w:b/>
          <w:bCs/>
          <w:spacing w:val="18"/>
          <w:sz w:val="32"/>
          <w:szCs w:val="32"/>
        </w:rPr>
        <w:t>附件1</w:t>
      </w:r>
    </w:p>
    <w:p>
      <w:pPr>
        <w:spacing w:before="138" w:line="219" w:lineRule="auto"/>
        <w:ind w:left="3900"/>
      </w:pPr>
      <w:r>
        <w:rPr>
          <w:rFonts w:hint="eastAsia" w:ascii="宋体" w:hAnsi="宋体" w:eastAsia="宋体" w:cs="宋体"/>
          <w:b/>
          <w:bCs/>
          <w:spacing w:val="-18"/>
          <w:sz w:val="36"/>
          <w:szCs w:val="36"/>
          <w:lang w:val="en-US" w:eastAsia="zh-CN"/>
        </w:rPr>
        <w:t>宁陵县</w:t>
      </w:r>
      <w:r>
        <w:rPr>
          <w:rFonts w:ascii="宋体" w:hAnsi="宋体" w:eastAsia="宋体" w:cs="宋体"/>
          <w:b/>
          <w:bCs/>
          <w:spacing w:val="-18"/>
          <w:sz w:val="36"/>
          <w:szCs w:val="36"/>
        </w:rPr>
        <w:t>安全生产领域基层政务公开标准目录</w:t>
      </w:r>
    </w:p>
    <w:tbl>
      <w:tblPr>
        <w:tblStyle w:val="9"/>
        <w:tblpPr w:leftFromText="180" w:rightFromText="180" w:vertAnchor="text" w:horzAnchor="page" w:tblpX="993" w:tblpY="591"/>
        <w:tblOverlap w:val="never"/>
        <w:tblW w:w="15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120"/>
        <w:gridCol w:w="1150"/>
        <w:gridCol w:w="1940"/>
        <w:gridCol w:w="1930"/>
        <w:gridCol w:w="1780"/>
        <w:gridCol w:w="1310"/>
        <w:gridCol w:w="1467"/>
        <w:gridCol w:w="763"/>
        <w:gridCol w:w="740"/>
        <w:gridCol w:w="650"/>
        <w:gridCol w:w="780"/>
        <w:gridCol w:w="63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39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27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9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7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6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kern w:val="0"/>
                <w:sz w:val="22"/>
              </w:rPr>
            </w:pPr>
            <w:r>
              <w:rPr>
                <w:rFonts w:hint="eastAsia" w:ascii="黑体" w:hAnsi="宋体" w:eastAsia="黑体" w:cs="宋体"/>
                <w:kern w:val="0"/>
                <w:sz w:val="22"/>
              </w:rPr>
              <w:t>公开渠道和载体</w:t>
            </w:r>
          </w:p>
        </w:tc>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3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39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color w:val="000000"/>
                <w:kern w:val="0"/>
                <w:sz w:val="18"/>
                <w:szCs w:val="18"/>
              </w:rPr>
            </w:pPr>
          </w:p>
        </w:tc>
        <w:tc>
          <w:tcPr>
            <w:tcW w:w="112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9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93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7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color w:val="000000"/>
                <w:kern w:val="0"/>
                <w:sz w:val="22"/>
              </w:rPr>
            </w:pPr>
          </w:p>
        </w:tc>
        <w:tc>
          <w:tcPr>
            <w:tcW w:w="13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p>
        </w:tc>
        <w:tc>
          <w:tcPr>
            <w:tcW w:w="146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黑体" w:hAnsi="宋体" w:eastAsia="黑体" w:cs="宋体"/>
                <w:kern w:val="0"/>
                <w:sz w:val="22"/>
              </w:rPr>
            </w:pPr>
          </w:p>
        </w:tc>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6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依</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申请公开</w:t>
            </w:r>
          </w:p>
        </w:tc>
        <w:tc>
          <w:tcPr>
            <w:tcW w:w="6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1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仿宋_GB2312" w:hAnsi="宋体" w:eastAsia="仿宋_GB2312" w:cs="宋体"/>
                <w:bCs/>
                <w:color w:val="000000"/>
                <w:sz w:val="18"/>
                <w:szCs w:val="18"/>
                <w:lang w:val="en-US" w:eastAsia="zh-CN"/>
              </w:rPr>
            </w:pPr>
            <w:r>
              <w:rPr>
                <w:rFonts w:hint="eastAsia" w:ascii="仿宋_GB2312" w:eastAsia="仿宋_GB2312"/>
                <w:bCs/>
                <w:color w:val="000000"/>
                <w:sz w:val="18"/>
                <w:szCs w:val="18"/>
                <w:lang w:val="en-US" w:eastAsia="zh-CN"/>
              </w:rPr>
              <w:t>部门文件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仿宋_GB2312" w:hAnsi="宋体" w:eastAsia="仿宋_GB2312" w:cs="宋体"/>
                <w:bCs/>
                <w:color w:val="auto"/>
                <w:sz w:val="18"/>
                <w:szCs w:val="18"/>
                <w:lang w:val="en-US" w:eastAsia="zh-CN"/>
              </w:rPr>
            </w:pPr>
            <w:r>
              <w:rPr>
                <w:rFonts w:hint="eastAsia" w:ascii="仿宋_GB2312" w:eastAsia="仿宋_GB2312"/>
                <w:bCs/>
                <w:color w:val="auto"/>
                <w:sz w:val="18"/>
                <w:szCs w:val="18"/>
              </w:rPr>
              <w:t>与安全生产有关的</w:t>
            </w:r>
            <w:r>
              <w:rPr>
                <w:rFonts w:hint="eastAsia" w:ascii="仿宋_GB2312" w:eastAsia="仿宋_GB2312"/>
                <w:bCs/>
                <w:color w:val="auto"/>
                <w:sz w:val="18"/>
                <w:szCs w:val="18"/>
                <w:lang w:val="en-US" w:eastAsia="zh-CN"/>
              </w:rPr>
              <w:t>市、县两级文件</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auto"/>
                <w:sz w:val="18"/>
                <w:szCs w:val="18"/>
              </w:rPr>
            </w:pPr>
            <w:r>
              <w:rPr>
                <w:rFonts w:hint="eastAsia" w:ascii="仿宋_GB2312" w:eastAsia="仿宋_GB2312"/>
                <w:bCs/>
                <w:color w:val="auto"/>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2</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3</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4</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5</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lang w:val="en-US" w:eastAsia="zh-CN"/>
              </w:rPr>
            </w:pPr>
            <w:r>
              <w:rPr>
                <w:rFonts w:hint="eastAsia" w:ascii="仿宋_GB2312" w:eastAsia="仿宋_GB2312"/>
                <w:sz w:val="18"/>
                <w:szCs w:val="18"/>
              </w:rPr>
              <w:t>■政务服务中</w:t>
            </w:r>
            <w:r>
              <w:rPr>
                <w:rFonts w:hint="eastAsia" w:ascii="仿宋_GB2312" w:eastAsia="仿宋_GB2312"/>
                <w:sz w:val="18"/>
                <w:szCs w:val="18"/>
                <w:lang w:val="en-US" w:eastAsia="zh-CN"/>
              </w:rPr>
              <w:t>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pPr>
            <w:r>
              <w:rPr>
                <w:rFonts w:hint="eastAsia" w:ascii="仿宋_GB2312" w:eastAsia="仿宋_GB2312"/>
                <w:bCs/>
                <w:color w:val="000000"/>
                <w:sz w:val="18"/>
                <w:szCs w:val="18"/>
              </w:rPr>
              <w:t>《政府信息公开条例》、《关于全面推进政务公开工作的意见》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w:t>
            </w:r>
            <w:r>
              <w:rPr>
                <w:rFonts w:hint="eastAsia" w:ascii="仿宋_GB2312" w:eastAsia="仿宋_GB2312"/>
                <w:bCs/>
                <w:color w:val="auto"/>
                <w:sz w:val="18"/>
                <w:szCs w:val="18"/>
              </w:rPr>
              <w:t>》</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r>
              <w:rPr>
                <w:rFonts w:hint="eastAsia" w:ascii="仿宋_GB2312" w:eastAsia="仿宋_GB2312"/>
                <w:sz w:val="18"/>
                <w:szCs w:val="18"/>
              </w:rPr>
              <w:br w:type="textWrapping"/>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宋体" w:eastAsia="仿宋_GB2312" w:cs="宋体"/>
                <w:bCs/>
                <w:sz w:val="18"/>
                <w:szCs w:val="18"/>
              </w:rPr>
            </w:pPr>
            <w:r>
              <w:rPr>
                <w:rFonts w:hint="eastAsia" w:ascii="仿宋_GB2312" w:eastAsia="仿宋_GB2312"/>
                <w:bCs/>
                <w:sz w:val="15"/>
                <w:szCs w:val="15"/>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■两微一端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■两微一端   </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0</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1</w:t>
            </w:r>
          </w:p>
        </w:tc>
        <w:tc>
          <w:tcPr>
            <w:tcW w:w="11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3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2</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19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预算、决算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eastAsia="仿宋_GB2312"/>
                <w:bCs/>
                <w:sz w:val="18"/>
                <w:szCs w:val="18"/>
              </w:rPr>
            </w:pPr>
            <w:r>
              <w:rPr>
                <w:rFonts w:hint="eastAsia" w:ascii="仿宋_GB2312" w:eastAsia="仿宋_GB2312"/>
                <w:bCs/>
                <w:sz w:val="18"/>
                <w:szCs w:val="18"/>
              </w:rPr>
              <w:t xml:space="preserve"> “三公”经费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19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3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3</w:t>
            </w:r>
          </w:p>
        </w:tc>
        <w:tc>
          <w:tcPr>
            <w:tcW w:w="11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4</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5</w:t>
            </w:r>
          </w:p>
        </w:tc>
        <w:tc>
          <w:tcPr>
            <w:tcW w:w="11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6</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eastAsia="仿宋_GB2312"/>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399"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7</w:t>
            </w:r>
          </w:p>
        </w:tc>
        <w:tc>
          <w:tcPr>
            <w:tcW w:w="11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color w:val="000000"/>
                <w:sz w:val="18"/>
                <w:szCs w:val="18"/>
              </w:rPr>
            </w:pPr>
          </w:p>
        </w:tc>
        <w:tc>
          <w:tcPr>
            <w:tcW w:w="115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194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1930"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3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67"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仿宋_GB2312" w:hAnsi="宋体" w:eastAsia="仿宋_GB2312" w:cs="宋体"/>
                <w:bCs/>
                <w:sz w:val="18"/>
                <w:szCs w:val="18"/>
              </w:rPr>
            </w:pPr>
            <w:r>
              <w:rPr>
                <w:rFonts w:hint="eastAsia" w:ascii="仿宋_GB2312" w:eastAsia="仿宋_GB2312"/>
                <w:sz w:val="18"/>
                <w:szCs w:val="18"/>
              </w:rPr>
              <w:t>■政府网站   ■政务服务中心</w:t>
            </w:r>
          </w:p>
        </w:tc>
        <w:tc>
          <w:tcPr>
            <w:tcW w:w="763"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4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5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sz w:val="18"/>
                <w:szCs w:val="18"/>
              </w:rPr>
            </w:pPr>
            <w:r>
              <w:rPr>
                <w:rFonts w:hint="eastAsia" w:ascii="仿宋_GB2312" w:eastAsia="仿宋_GB2312"/>
                <w:bCs/>
                <w:sz w:val="18"/>
                <w:szCs w:val="18"/>
              </w:rPr>
              <w:t>√</w:t>
            </w:r>
          </w:p>
        </w:tc>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cs="宋体"/>
                <w:bCs/>
                <w:color w:val="000000"/>
                <w:sz w:val="18"/>
                <w:szCs w:val="18"/>
              </w:rPr>
            </w:pPr>
          </w:p>
        </w:tc>
      </w:tr>
    </w:tbl>
    <w:p>
      <w:pPr>
        <w:spacing w:line="468" w:lineRule="auto"/>
        <w:rPr>
          <w:rFonts w:ascii="Arial"/>
          <w:sz w:val="21"/>
        </w:rPr>
      </w:pPr>
    </w:p>
    <w:p>
      <w:pPr>
        <w:spacing w:line="468" w:lineRule="auto"/>
        <w:rPr>
          <w:rFonts w:ascii="Arial"/>
          <w:sz w:val="21"/>
        </w:rPr>
      </w:pPr>
    </w:p>
    <w:p>
      <w:pPr>
        <w:spacing w:line="468" w:lineRule="auto"/>
        <w:rPr>
          <w:rFonts w:ascii="Arial"/>
          <w:sz w:val="21"/>
        </w:rPr>
      </w:pPr>
    </w:p>
    <w:p>
      <w:pPr>
        <w:spacing w:line="468" w:lineRule="auto"/>
        <w:rPr>
          <w:rFonts w:ascii="Arial"/>
          <w:sz w:val="21"/>
        </w:rPr>
      </w:pPr>
    </w:p>
    <w:p>
      <w:pPr>
        <w:spacing w:line="468" w:lineRule="auto"/>
        <w:rPr>
          <w:rFonts w:ascii="Arial"/>
          <w:sz w:val="21"/>
        </w:rPr>
      </w:pPr>
    </w:p>
    <w:p>
      <w:pPr>
        <w:spacing w:before="107" w:line="224" w:lineRule="auto"/>
        <w:ind w:left="1139"/>
        <w:rPr>
          <w:rFonts w:ascii="黑体" w:hAnsi="黑体" w:eastAsia="黑体" w:cs="黑体"/>
          <w:sz w:val="33"/>
          <w:szCs w:val="33"/>
        </w:rPr>
      </w:pPr>
      <w:r>
        <w:rPr>
          <w:rFonts w:ascii="黑体" w:hAnsi="黑体" w:eastAsia="黑体" w:cs="黑体"/>
          <w:b/>
          <w:bCs/>
          <w:spacing w:val="1"/>
          <w:sz w:val="33"/>
          <w:szCs w:val="33"/>
        </w:rPr>
        <w:t>附件2</w:t>
      </w:r>
    </w:p>
    <w:p>
      <w:pPr>
        <w:spacing w:before="225" w:line="219" w:lineRule="auto"/>
        <w:ind w:left="3919"/>
        <w:rPr>
          <w:rFonts w:ascii="宋体" w:hAnsi="宋体" w:eastAsia="宋体" w:cs="宋体"/>
          <w:sz w:val="33"/>
          <w:szCs w:val="33"/>
        </w:rPr>
      </w:pPr>
      <w:r>
        <w:rPr>
          <w:rFonts w:hint="eastAsia" w:ascii="宋体" w:hAnsi="宋体" w:eastAsia="宋体" w:cs="宋体"/>
          <w:b/>
          <w:bCs/>
          <w:spacing w:val="11"/>
          <w:sz w:val="33"/>
          <w:szCs w:val="33"/>
          <w:lang w:val="en-US" w:eastAsia="zh-CN"/>
        </w:rPr>
        <w:t>宁陵县</w:t>
      </w:r>
      <w:r>
        <w:rPr>
          <w:rFonts w:ascii="宋体" w:hAnsi="宋体" w:eastAsia="宋体" w:cs="宋体"/>
          <w:b/>
          <w:bCs/>
          <w:spacing w:val="11"/>
          <w:sz w:val="33"/>
          <w:szCs w:val="33"/>
        </w:rPr>
        <w:t>救灾生产领域基层政务公开标准目录</w:t>
      </w:r>
    </w:p>
    <w:p>
      <w:pPr>
        <w:spacing w:before="10"/>
      </w:pPr>
    </w:p>
    <w:tbl>
      <w:tblPr>
        <w:tblStyle w:val="9"/>
        <w:tblpPr w:leftFromText="180" w:rightFromText="180" w:vertAnchor="text" w:horzAnchor="page" w:tblpX="974" w:tblpY="668"/>
        <w:tblOverlap w:val="never"/>
        <w:tblW w:w="15235" w:type="dxa"/>
        <w:tblInd w:w="0" w:type="dxa"/>
        <w:tblLayout w:type="fixed"/>
        <w:tblCellMar>
          <w:top w:w="0" w:type="dxa"/>
          <w:left w:w="108" w:type="dxa"/>
          <w:bottom w:w="0" w:type="dxa"/>
          <w:right w:w="108" w:type="dxa"/>
        </w:tblCellMar>
      </w:tblPr>
      <w:tblGrid>
        <w:gridCol w:w="525"/>
        <w:gridCol w:w="875"/>
        <w:gridCol w:w="1051"/>
        <w:gridCol w:w="2627"/>
        <w:gridCol w:w="1915"/>
        <w:gridCol w:w="2102"/>
        <w:gridCol w:w="1062"/>
        <w:gridCol w:w="1455"/>
        <w:gridCol w:w="525"/>
        <w:gridCol w:w="701"/>
        <w:gridCol w:w="525"/>
        <w:gridCol w:w="701"/>
        <w:gridCol w:w="525"/>
        <w:gridCol w:w="646"/>
      </w:tblGrid>
      <w:tr>
        <w:tblPrEx>
          <w:tblLayout w:type="fixed"/>
          <w:tblCellMar>
            <w:top w:w="0" w:type="dxa"/>
            <w:left w:w="108" w:type="dxa"/>
            <w:bottom w:w="0" w:type="dxa"/>
            <w:right w:w="108" w:type="dxa"/>
          </w:tblCellMar>
        </w:tblPrEx>
        <w:trPr>
          <w:trHeight w:val="647" w:hRule="atLeast"/>
        </w:trPr>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6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920" w:hRule="atLeast"/>
        </w:trPr>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87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5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6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01"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25"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46"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133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875" w:type="dxa"/>
            <w:vMerge w:val="restart"/>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部门文件</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仿宋_GB2312" w:hAnsi="宋体" w:eastAsia="仿宋_GB2312" w:cs="宋体"/>
                <w:color w:val="000000"/>
                <w:sz w:val="18"/>
                <w:szCs w:val="18"/>
                <w:lang w:val="en-US" w:eastAsia="zh-CN"/>
              </w:rPr>
            </w:pPr>
            <w:r>
              <w:rPr>
                <w:rFonts w:hint="eastAsia" w:ascii="仿宋_GB2312" w:eastAsia="仿宋_GB2312"/>
                <w:color w:val="000000"/>
                <w:sz w:val="18"/>
                <w:szCs w:val="18"/>
              </w:rPr>
              <w:t>与救灾有关的</w:t>
            </w:r>
            <w:r>
              <w:rPr>
                <w:rFonts w:hint="eastAsia" w:ascii="仿宋_GB2312" w:eastAsia="仿宋_GB2312"/>
                <w:color w:val="000000"/>
                <w:sz w:val="18"/>
                <w:szCs w:val="18"/>
                <w:lang w:val="en-US" w:eastAsia="zh-CN"/>
              </w:rPr>
              <w:t>市、县两级文件</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0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427"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■两微一端</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仿宋_GB2312" w:eastAsia="仿宋_GB2312"/>
                <w:sz w:val="18"/>
                <w:szCs w:val="18"/>
              </w:rPr>
            </w:pPr>
            <w:r>
              <w:rPr>
                <w:rFonts w:hint="eastAsia" w:ascii="仿宋_GB2312" w:eastAsia="仿宋_GB2312"/>
                <w:sz w:val="18"/>
                <w:szCs w:val="18"/>
              </w:rPr>
              <w:t>■政务服务中心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9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87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98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875" w:type="dxa"/>
            <w:vMerge w:val="continue"/>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62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875"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重要会议</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提前一周发通知邀请</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■政府网站   ■两微一端</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454"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 xml:space="preserve">■两微一端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6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46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灾害信息员队伍</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lang w:val="en-US" w:eastAsia="zh-CN"/>
              </w:rPr>
              <w:t>各乡镇</w:t>
            </w:r>
            <w:r>
              <w:rPr>
                <w:rFonts w:hint="eastAsia" w:ascii="仿宋_GB2312" w:eastAsia="仿宋_GB2312"/>
                <w:sz w:val="18"/>
                <w:szCs w:val="18"/>
              </w:rPr>
              <w:t>灾害信息员工作职责和办公电话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6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sz w:val="18"/>
                <w:szCs w:val="18"/>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p>
        </w:tc>
      </w:tr>
      <w:tr>
        <w:tblPrEx>
          <w:tblLayout w:type="fixed"/>
          <w:tblCellMar>
            <w:top w:w="0" w:type="dxa"/>
            <w:left w:w="108" w:type="dxa"/>
            <w:bottom w:w="0" w:type="dxa"/>
            <w:right w:w="108" w:type="dxa"/>
          </w:tblCellMar>
        </w:tblPrEx>
        <w:trPr>
          <w:trHeight w:val="181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auto"/>
                <w:sz w:val="18"/>
                <w:szCs w:val="18"/>
                <w:lang w:val="en-US" w:eastAsia="zh-CN"/>
              </w:rPr>
            </w:pPr>
            <w:r>
              <w:rPr>
                <w:rFonts w:hint="eastAsia" w:ascii="仿宋_GB2312" w:hAnsi="宋体" w:eastAsia="仿宋_GB2312" w:cs="宋体"/>
                <w:color w:val="auto"/>
                <w:sz w:val="18"/>
                <w:szCs w:val="18"/>
              </w:rPr>
              <w:t>1</w:t>
            </w:r>
            <w:r>
              <w:rPr>
                <w:rFonts w:hint="eastAsia" w:ascii="仿宋_GB2312" w:hAnsi="宋体" w:eastAsia="仿宋_GB2312" w:cs="宋体"/>
                <w:color w:val="auto"/>
                <w:sz w:val="18"/>
                <w:szCs w:val="18"/>
                <w:lang w:val="en-US" w:eastAsia="zh-CN"/>
              </w:rPr>
              <w:t>1</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灾后</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灾情核定信息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■两微一端   </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r>
              <w:rPr>
                <w:rFonts w:hint="eastAsia" w:ascii="仿宋_GB2312" w:eastAsia="仿宋_GB2312"/>
                <w:color w:val="000000"/>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eastAsia" w:ascii="仿宋_GB2312" w:eastAsia="仿宋_GB2312"/>
                <w:color w:val="000000"/>
                <w:sz w:val="18"/>
                <w:szCs w:val="18"/>
              </w:rPr>
            </w:pPr>
          </w:p>
        </w:tc>
      </w:tr>
      <w:tr>
        <w:tblPrEx>
          <w:tblLayout w:type="fixed"/>
          <w:tblCellMar>
            <w:top w:w="0" w:type="dxa"/>
            <w:left w:w="108" w:type="dxa"/>
            <w:bottom w:w="0" w:type="dxa"/>
            <w:right w:w="108" w:type="dxa"/>
          </w:tblCellMar>
        </w:tblPrEx>
        <w:trPr>
          <w:trHeight w:val="16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87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875" w:type="dxa"/>
            <w:vMerge w:val="restart"/>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ind w:firstLine="180" w:firstLineChars="100"/>
              <w:jc w:val="both"/>
              <w:textAlignment w:val="auto"/>
              <w:rPr>
                <w:rFonts w:hint="eastAsia" w:ascii="仿宋_GB2312" w:eastAsia="仿宋_GB2312"/>
                <w:sz w:val="18"/>
                <w:szCs w:val="18"/>
                <w:lang w:val="en-US" w:eastAsia="zh-CN"/>
              </w:rPr>
            </w:pPr>
            <w:r>
              <w:rPr>
                <w:rFonts w:hint="eastAsia" w:ascii="仿宋_GB2312" w:eastAsia="仿宋_GB2312"/>
                <w:sz w:val="18"/>
                <w:szCs w:val="18"/>
              </w:rPr>
              <w:t>灾</w:t>
            </w:r>
            <w:r>
              <w:rPr>
                <w:rFonts w:hint="eastAsia" w:ascii="仿宋_GB2312" w:eastAsia="仿宋_GB2312"/>
                <w:sz w:val="18"/>
                <w:szCs w:val="18"/>
                <w:lang w:val="en-US" w:eastAsia="zh-CN"/>
              </w:rPr>
              <w:t>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r>
              <w:rPr>
                <w:rFonts w:hint="eastAsia" w:ascii="仿宋_GB2312" w:eastAsia="仿宋_GB2312"/>
                <w:sz w:val="18"/>
                <w:szCs w:val="18"/>
              </w:rPr>
              <w:t>救助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应急管理部门审批</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救助款物通知及划拨情况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s="宋体"/>
                <w:color w:val="auto"/>
                <w:sz w:val="18"/>
                <w:szCs w:val="18"/>
              </w:rPr>
            </w:pPr>
            <w:r>
              <w:rPr>
                <w:rFonts w:hint="eastAsia" w:ascii="仿宋_GB2312" w:eastAsia="仿宋_GB2312"/>
                <w:color w:val="auto"/>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auto"/>
                <w:sz w:val="18"/>
                <w:szCs w:val="18"/>
              </w:rPr>
            </w:pPr>
            <w:r>
              <w:rPr>
                <w:rFonts w:hint="eastAsia" w:ascii="仿宋_GB2312" w:eastAsia="仿宋_GB2312"/>
                <w:color w:val="auto"/>
                <w:sz w:val="18"/>
                <w:szCs w:val="18"/>
              </w:rPr>
              <w:t xml:space="preserve">■政府网站   </w:t>
            </w:r>
            <w:r>
              <w:rPr>
                <w:rFonts w:hint="eastAsia" w:ascii="仿宋_GB2312" w:eastAsia="仿宋_GB2312"/>
                <w:color w:val="auto"/>
                <w:sz w:val="18"/>
                <w:szCs w:val="18"/>
              </w:rPr>
              <w:br w:type="textWrapping"/>
            </w:r>
            <w:r>
              <w:rPr>
                <w:rFonts w:hint="eastAsia" w:ascii="仿宋_GB2312" w:eastAsia="仿宋_GB2312"/>
                <w:color w:val="auto"/>
                <w:sz w:val="18"/>
                <w:szCs w:val="18"/>
              </w:rPr>
              <w:t xml:space="preserve">■两微一端   </w:t>
            </w:r>
            <w:r>
              <w:rPr>
                <w:rFonts w:hint="eastAsia" w:ascii="仿宋_GB2312" w:eastAsia="仿宋_GB2312"/>
                <w:color w:val="auto"/>
                <w:sz w:val="18"/>
                <w:szCs w:val="18"/>
              </w:rPr>
              <w:br w:type="textWrapping"/>
            </w:r>
            <w:r>
              <w:rPr>
                <w:rFonts w:hint="eastAsia" w:ascii="仿宋_GB2312" w:eastAsia="仿宋_GB2312"/>
                <w:color w:val="auto"/>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auto"/>
                <w:sz w:val="18"/>
                <w:szCs w:val="18"/>
              </w:rPr>
            </w:pPr>
            <w:r>
              <w:rPr>
                <w:rFonts w:hint="eastAsia" w:ascii="仿宋_GB2312" w:eastAsia="仿宋_GB2312"/>
                <w:color w:val="auto"/>
                <w:sz w:val="18"/>
                <w:szCs w:val="18"/>
              </w:rPr>
              <w:t>√</w:t>
            </w:r>
          </w:p>
        </w:tc>
      </w:tr>
      <w:tr>
        <w:tblPrEx>
          <w:tblLayout w:type="fixed"/>
          <w:tblCellMar>
            <w:top w:w="0" w:type="dxa"/>
            <w:left w:w="108" w:type="dxa"/>
            <w:bottom w:w="0" w:type="dxa"/>
            <w:right w:w="108" w:type="dxa"/>
          </w:tblCellMar>
        </w:tblPrEx>
        <w:trPr>
          <w:trHeight w:val="232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87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04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8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灾后</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45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875"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18"/>
                <w:szCs w:val="18"/>
              </w:rPr>
            </w:pPr>
            <w:r>
              <w:rPr>
                <w:rFonts w:hint="eastAsia" w:ascii="仿宋_GB2312" w:eastAsia="仿宋_GB2312"/>
                <w:sz w:val="18"/>
                <w:szCs w:val="18"/>
              </w:rPr>
              <w:t>款物</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sz w:val="18"/>
                <w:szCs w:val="18"/>
              </w:rPr>
            </w:pPr>
            <w:r>
              <w:rPr>
                <w:rFonts w:hint="eastAsia" w:ascii="仿宋_GB2312" w:eastAsia="仿宋_GB2312"/>
                <w:sz w:val="18"/>
                <w:szCs w:val="18"/>
              </w:rPr>
              <w:t>管理</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捐赠款物信息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339"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年度款物使用情况</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26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87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color w:val="000000"/>
                <w:sz w:val="18"/>
                <w:szCs w:val="18"/>
              </w:rPr>
            </w:pPr>
            <w:r>
              <w:rPr>
                <w:rFonts w:hint="eastAsia" w:ascii="仿宋_GB2312" w:eastAsia="仿宋_GB2312"/>
                <w:color w:val="000000"/>
                <w:sz w:val="18"/>
                <w:szCs w:val="18"/>
              </w:rPr>
              <w:t>工作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工作信息</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《政府信息公开条例》</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按进展情况及时公开</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hAnsi="宋体" w:eastAsia="仿宋_GB2312" w:cs="宋体"/>
                <w:sz w:val="18"/>
                <w:szCs w:val="18"/>
              </w:rPr>
            </w:pPr>
            <w:r>
              <w:rPr>
                <w:rFonts w:hint="eastAsia" w:ascii="仿宋_GB2312" w:eastAsia="仿宋_GB2312"/>
                <w:sz w:val="18"/>
                <w:szCs w:val="18"/>
              </w:rPr>
              <w:t>应急管理部门</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p>
        </w:tc>
        <w:tc>
          <w:tcPr>
            <w:tcW w:w="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c>
          <w:tcPr>
            <w:tcW w:w="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仿宋_GB2312" w:hAnsi="宋体" w:eastAsia="仿宋_GB2312" w:cs="宋体"/>
                <w:sz w:val="18"/>
                <w:szCs w:val="18"/>
              </w:rPr>
            </w:pPr>
            <w:r>
              <w:rPr>
                <w:rFonts w:hint="eastAsia" w:ascii="仿宋_GB2312" w:eastAsia="仿宋_GB2312"/>
                <w:sz w:val="18"/>
                <w:szCs w:val="18"/>
              </w:rPr>
              <w:t>√</w:t>
            </w:r>
          </w:p>
        </w:tc>
      </w:tr>
    </w:tbl>
    <w:p>
      <w:pPr>
        <w:spacing w:line="184" w:lineRule="auto"/>
        <w:rPr>
          <w:rFonts w:ascii="宋体" w:hAnsi="宋体" w:eastAsia="宋体" w:cs="宋体"/>
          <w:sz w:val="33"/>
          <w:szCs w:val="33"/>
        </w:rPr>
        <w:sectPr>
          <w:footerReference r:id="rId4" w:type="default"/>
          <w:pgSz w:w="16340" w:h="11940"/>
          <w:pgMar w:top="1014" w:right="704" w:bottom="400" w:left="885" w:header="0" w:footer="0" w:gutter="0"/>
          <w:pgNumType w:fmt="numberInDash" w:start="3"/>
          <w:cols w:space="720" w:num="1"/>
        </w:sectPr>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line="240" w:lineRule="auto"/>
        <w:jc w:val="center"/>
        <w:rPr>
          <w:rFonts w:hint="eastAsia" w:asciiTheme="minorEastAsia" w:hAnsiTheme="minorEastAsia" w:eastAsiaTheme="minorEastAsia" w:cstheme="minorEastAsia"/>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945"/>
      <w:rPr>
        <w:rFonts w:ascii="宋体" w:hAnsi="宋体" w:eastAsia="宋体" w:cs="宋体"/>
        <w:sz w:val="31"/>
        <w:szCs w:val="31"/>
      </w:rPr>
    </w:pPr>
    <w:r>
      <w:rPr>
        <w:sz w:val="3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ZDcwZDc5NWI3MWEwZDgwMTcwNDIzMDQyMDliMTUifQ=="/>
  </w:docVars>
  <w:rsids>
    <w:rsidRoot w:val="498E53B4"/>
    <w:rsid w:val="020D13A8"/>
    <w:rsid w:val="02253AB6"/>
    <w:rsid w:val="064079A8"/>
    <w:rsid w:val="0A0204CE"/>
    <w:rsid w:val="160251BE"/>
    <w:rsid w:val="17B77FDA"/>
    <w:rsid w:val="276F12FD"/>
    <w:rsid w:val="2CA27AEF"/>
    <w:rsid w:val="2D9100F9"/>
    <w:rsid w:val="365A17E5"/>
    <w:rsid w:val="37A16055"/>
    <w:rsid w:val="3C1B0F99"/>
    <w:rsid w:val="44FA7C6B"/>
    <w:rsid w:val="454724B5"/>
    <w:rsid w:val="498E53B4"/>
    <w:rsid w:val="4C193419"/>
    <w:rsid w:val="4E7B1646"/>
    <w:rsid w:val="5BB05368"/>
    <w:rsid w:val="6AA3690F"/>
    <w:rsid w:val="6BB81301"/>
    <w:rsid w:val="721B782D"/>
    <w:rsid w:val="75635445"/>
    <w:rsid w:val="773056E2"/>
    <w:rsid w:val="7FA6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rFonts w:ascii="Times New Roman" w:hAnsi="Times New Roman" w:eastAsia="宋体"/>
    </w:rPr>
  </w:style>
  <w:style w:type="paragraph" w:styleId="3">
    <w:name w:val="Body Text"/>
    <w:basedOn w:val="1"/>
    <w:qFormat/>
    <w:uiPriority w:val="0"/>
    <w:pPr>
      <w:spacing w:after="120" w:afterLines="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next w:val="8"/>
    <w:unhideWhenUsed/>
    <w:qFormat/>
    <w:uiPriority w:val="99"/>
    <w:pPr>
      <w:ind w:firstLine="420" w:firstLineChars="100"/>
    </w:pPr>
  </w:style>
  <w:style w:type="paragraph" w:styleId="8">
    <w:name w:val="Body Text First Indent 2"/>
    <w:basedOn w:val="1"/>
    <w:next w:val="1"/>
    <w:qFormat/>
    <w:uiPriority w:val="0"/>
    <w:pPr>
      <w:spacing w:after="120"/>
      <w:ind w:left="420" w:leftChars="200" w:firstLine="420"/>
    </w:pPr>
    <w:rPr>
      <w:rFonts w:ascii="Times New Roman" w:hAnsi="Times New Roman" w:eastAsia="宋体"/>
    </w:rPr>
  </w:style>
  <w:style w:type="paragraph" w:customStyle="1" w:styleId="11">
    <w:name w:val="Table Text"/>
    <w:basedOn w:val="1"/>
    <w:semiHidden/>
    <w:qFormat/>
    <w:uiPriority w:val="0"/>
    <w:rPr>
      <w:rFonts w:ascii="宋体" w:hAnsi="宋体" w:eastAsia="宋体" w:cs="宋体"/>
      <w:sz w:val="18"/>
      <w:szCs w:val="18"/>
      <w:lang w:val="en-US" w:eastAsia="en-US" w:bidi="ar-SA"/>
    </w:rPr>
  </w:style>
  <w:style w:type="table" w:customStyle="1" w:styleId="12">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206</Characters>
  <Lines>0</Lines>
  <Paragraphs>0</Paragraphs>
  <TotalTime>2</TotalTime>
  <ScaleCrop>false</ScaleCrop>
  <LinksUpToDate>false</LinksUpToDate>
  <CharactersWithSpaces>206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2023-07-26T10:23:00Z</dcterms:created>
  <dc:creator>刘超</dc:creator>
  <cp:lastModifiedBy>Administrator</cp:lastModifiedBy>
  <cp:lastPrinted>2023-10-30T07:38:00Z</cp:lastPrinted>
  <dcterms:modified xsi:type="dcterms:W3CDTF">2023-11-03T08:32:37Z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3B913BA6D6CF407D87D3C9972DBD8DCD_13</vt:lpwstr>
  </property>
</Properties>
</file>