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96" w:leftChars="30"/>
        <w:jc w:val="center"/>
        <w:rPr>
          <w:rFonts w:ascii="方正小标宋简体" w:eastAsia="方正小标宋简体"/>
          <w:color w:val="FF0000"/>
          <w:spacing w:val="68"/>
          <w:w w:val="66"/>
          <w:sz w:val="134"/>
          <w:szCs w:val="134"/>
        </w:rPr>
      </w:pPr>
    </w:p>
    <w:p>
      <w:pPr>
        <w:ind w:left="96" w:leftChars="30"/>
        <w:jc w:val="center"/>
        <w:rPr>
          <w:rFonts w:ascii="方正小标宋简体" w:eastAsia="方正小标宋简体"/>
          <w:color w:val="FF0000"/>
          <w:spacing w:val="68"/>
          <w:w w:val="50"/>
          <w:sz w:val="134"/>
          <w:szCs w:val="134"/>
        </w:rPr>
      </w:pPr>
      <w:r>
        <w:rPr>
          <w:rFonts w:hint="eastAsia" w:ascii="方正小标宋简体" w:eastAsia="方正小标宋简体"/>
          <w:color w:val="FF0000"/>
          <w:spacing w:val="68"/>
          <w:w w:val="50"/>
          <w:sz w:val="134"/>
          <w:szCs w:val="134"/>
        </w:rPr>
        <w:t>宁陵县农业</w:t>
      </w:r>
      <w:r>
        <w:rPr>
          <w:rFonts w:hint="eastAsia" w:ascii="方正小标宋简体" w:eastAsia="方正小标宋简体"/>
          <w:color w:val="FF0000"/>
          <w:spacing w:val="68"/>
          <w:w w:val="50"/>
          <w:sz w:val="134"/>
          <w:szCs w:val="134"/>
          <w:lang w:eastAsia="zh-CN"/>
        </w:rPr>
        <w:t>农村</w:t>
      </w:r>
      <w:r>
        <w:rPr>
          <w:rFonts w:hint="eastAsia" w:ascii="方正小标宋简体" w:eastAsia="方正小标宋简体"/>
          <w:color w:val="FF0000"/>
          <w:spacing w:val="68"/>
          <w:w w:val="50"/>
          <w:sz w:val="134"/>
          <w:szCs w:val="134"/>
        </w:rPr>
        <w:t>局文件</w:t>
      </w:r>
    </w:p>
    <w:p>
      <w:pPr>
        <w:spacing w:line="240" w:lineRule="exact"/>
      </w:pPr>
    </w:p>
    <w:p>
      <w:pPr>
        <w:spacing w:line="240" w:lineRule="exact"/>
      </w:pPr>
    </w:p>
    <w:p>
      <w:pPr>
        <w:jc w:val="center"/>
        <w:rPr>
          <w:rFonts w:hint="eastAsia" w:ascii="仿宋" w:hAnsi="仿宋" w:eastAsia="仿宋" w:cs="仿宋"/>
          <w:sz w:val="32"/>
          <w:szCs w:val="32"/>
        </w:rPr>
      </w:pPr>
      <w:r>
        <w:rPr>
          <w:rFonts w:hint="eastAsia" w:ascii="仿宋" w:hAnsi="仿宋" w:eastAsia="仿宋" w:cs="仿宋"/>
          <w:sz w:val="32"/>
          <w:szCs w:val="32"/>
        </w:rPr>
        <w:t>宁农〔20</w:t>
      </w:r>
      <w:r>
        <w:rPr>
          <w:rFonts w:hint="eastAsia" w:ascii="仿宋" w:hAnsi="仿宋" w:eastAsia="仿宋" w:cs="仿宋"/>
          <w:sz w:val="32"/>
          <w:szCs w:val="32"/>
          <w:lang w:val="en-US" w:eastAsia="zh-CN"/>
        </w:rPr>
        <w:t>23</w:t>
      </w:r>
      <w:r>
        <w:rPr>
          <w:rFonts w:hint="eastAsia" w:ascii="仿宋" w:hAnsi="仿宋" w:eastAsia="仿宋" w:cs="仿宋"/>
          <w:sz w:val="32"/>
          <w:szCs w:val="32"/>
        </w:rPr>
        <w:t>〕</w:t>
      </w:r>
      <w:r>
        <w:rPr>
          <w:rFonts w:hint="eastAsia" w:ascii="仿宋" w:hAnsi="仿宋" w:eastAsia="仿宋" w:cs="仿宋"/>
          <w:sz w:val="32"/>
          <w:szCs w:val="32"/>
          <w:lang w:val="en-US" w:eastAsia="zh-CN"/>
        </w:rPr>
        <w:t>66</w:t>
      </w:r>
      <w:r>
        <w:rPr>
          <w:rFonts w:hint="eastAsia" w:ascii="仿宋" w:hAnsi="仿宋" w:eastAsia="仿宋" w:cs="仿宋"/>
          <w:sz w:val="32"/>
          <w:szCs w:val="32"/>
        </w:rPr>
        <w:t>号</w:t>
      </w:r>
    </w:p>
    <w:p>
      <w:pPr>
        <w:spacing w:line="380" w:lineRule="exact"/>
      </w:pPr>
    </w:p>
    <w:p>
      <w:pPr>
        <w:spacing w:line="240" w:lineRule="exact"/>
        <w:jc w:val="center"/>
        <w:rPr>
          <w:rFonts w:ascii="黑体" w:hAnsi="黑体" w:eastAsia="黑体" w:cs="黑体"/>
          <w:sz w:val="44"/>
          <w:szCs w:val="44"/>
        </w:rPr>
      </w:pP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17780</wp:posOffset>
                </wp:positionV>
                <wp:extent cx="5507990" cy="0"/>
                <wp:effectExtent l="0" t="15875" r="16510" b="22225"/>
                <wp:wrapNone/>
                <wp:docPr id="3" name="直接连接符 3"/>
                <wp:cNvGraphicFramePr/>
                <a:graphic xmlns:a="http://schemas.openxmlformats.org/drawingml/2006/main">
                  <a:graphicData uri="http://schemas.microsoft.com/office/word/2010/wordprocessingShape">
                    <wps:wsp>
                      <wps:cNvCnPr/>
                      <wps:spPr>
                        <a:xfrm>
                          <a:off x="0" y="0"/>
                          <a:ext cx="550799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1.4pt;height:0pt;width:433.7pt;z-index:251659264;mso-width-relative:page;mso-height-relative:page;" filled="f" stroked="t" coordsize="21600,21600" o:gfxdata="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8iT99YAAAAHAQAADwAAAAAAAAABACAAAAAiAAAAZHJzL2Rvd25yZXYueG1sUEsB&#10;AhQAFAAAAAgAh07iQHTmMqf3AQAA5QMAAA4AAAAAAAAAAQAgAAAAJQEAAGRycy9lMm9Eb2MueG1s&#10;UEsFBgAAAAAGAAYAWQEAAI4FAAAAAA==&#10;">
                <v:fill on="f" focussize="0,0"/>
                <v:stroke weight="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0" w:beforeLines="0" w:after="0" w:afterLines="0" w:line="40" w:lineRule="exact"/>
        <w:ind w:left="0" w:leftChars="0" w:right="0" w:rightChars="0" w:firstLine="0" w:firstLineChars="0"/>
        <w:jc w:val="center"/>
        <w:textAlignment w:val="auto"/>
        <w:outlineLvl w:val="9"/>
        <w:rPr>
          <w:rFonts w:hint="eastAsia" w:ascii="华文中宋" w:hAnsi="华文中宋" w:eastAsia="华文中宋"/>
          <w:sz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华文中宋" w:hAnsi="华文中宋" w:eastAsia="华文中宋" w:cs="华文中宋"/>
          <w:sz w:val="32"/>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z w:val="40"/>
          <w:szCs w:val="44"/>
          <w:lang w:eastAsia="zh-CN"/>
        </w:rPr>
      </w:pPr>
      <w:r>
        <w:rPr>
          <w:rFonts w:hint="eastAsia" w:ascii="华文中宋" w:hAnsi="华文中宋" w:eastAsia="华文中宋" w:cs="华文中宋"/>
          <w:sz w:val="40"/>
          <w:szCs w:val="44"/>
          <w:lang w:eastAsia="zh-CN"/>
        </w:rPr>
        <w:t>宁陵县农业农村局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z w:val="40"/>
          <w:szCs w:val="44"/>
          <w:lang w:eastAsia="zh-CN"/>
        </w:rPr>
      </w:pPr>
      <w:r>
        <w:rPr>
          <w:rFonts w:hint="eastAsia" w:ascii="华文中宋" w:hAnsi="华文中宋" w:eastAsia="华文中宋" w:cs="华文中宋"/>
          <w:sz w:val="40"/>
          <w:szCs w:val="44"/>
          <w:lang w:eastAsia="zh-CN"/>
        </w:rPr>
        <w:t>信用分级分类监管工作方案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r>
        <w:rPr>
          <w:rFonts w:hint="eastAsia" w:ascii="黑体" w:hAnsi="黑体" w:eastAsia="黑体" w:cs="黑体"/>
        </w:rPr>
        <w:t>指导思想和工作目标</w:t>
      </w:r>
      <w:r>
        <w:rPr>
          <w:rFonts w:hint="eastAsia" w:ascii="黑体" w:hAnsi="黑体" w:eastAsia="黑体" w:cs="黑体"/>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lang w:eastAsia="zh-CN"/>
        </w:rPr>
        <w:t>（一）</w:t>
      </w:r>
      <w:r>
        <w:rPr>
          <w:rFonts w:hint="eastAsia" w:ascii="仿宋" w:hAnsi="仿宋" w:eastAsia="仿宋" w:cs="仿宋"/>
        </w:rPr>
        <w:t>指导思想农资经营主体信用分类监管要以科学发展观为指导</w:t>
      </w:r>
      <w:r>
        <w:rPr>
          <w:rFonts w:hint="eastAsia" w:ascii="仿宋" w:hAnsi="仿宋" w:eastAsia="仿宋" w:cs="仿宋"/>
          <w:lang w:eastAsia="zh-CN"/>
        </w:rPr>
        <w:t>，</w:t>
      </w:r>
      <w:r>
        <w:rPr>
          <w:rFonts w:hint="eastAsia" w:ascii="仿宋" w:hAnsi="仿宋" w:eastAsia="仿宋" w:cs="仿宋"/>
        </w:rPr>
        <w:t>以规范农资市场秩序保护农业生产安全维护农民合法权益为根本要求</w:t>
      </w:r>
      <w:r>
        <w:rPr>
          <w:rFonts w:hint="eastAsia" w:ascii="仿宋" w:hAnsi="仿宋" w:eastAsia="仿宋" w:cs="仿宋"/>
          <w:lang w:eastAsia="zh-CN"/>
        </w:rPr>
        <w:t>，通</w:t>
      </w:r>
      <w:r>
        <w:rPr>
          <w:rFonts w:hint="eastAsia" w:ascii="仿宋" w:hAnsi="仿宋" w:eastAsia="仿宋" w:cs="仿宋"/>
        </w:rPr>
        <w:t>过业主自律、政府监管、社会监督和企业信用建设</w:t>
      </w:r>
      <w:r>
        <w:rPr>
          <w:rFonts w:hint="eastAsia" w:ascii="仿宋" w:hAnsi="仿宋" w:eastAsia="仿宋" w:cs="仿宋"/>
          <w:lang w:eastAsia="zh-CN"/>
        </w:rPr>
        <w:t>，</w:t>
      </w:r>
      <w:r>
        <w:rPr>
          <w:rFonts w:hint="eastAsia" w:ascii="仿宋" w:hAnsi="仿宋" w:eastAsia="仿宋" w:cs="仿宋"/>
        </w:rPr>
        <w:t>培养诚信经营意识</w:t>
      </w:r>
      <w:r>
        <w:rPr>
          <w:rFonts w:hint="eastAsia" w:ascii="仿宋" w:hAnsi="仿宋" w:eastAsia="仿宋" w:cs="仿宋"/>
          <w:lang w:eastAsia="zh-CN"/>
        </w:rPr>
        <w:t>，</w:t>
      </w:r>
      <w:r>
        <w:rPr>
          <w:rFonts w:hint="eastAsia" w:ascii="仿宋" w:hAnsi="仿宋" w:eastAsia="仿宋" w:cs="仿宋"/>
        </w:rPr>
        <w:t>保障农资安全和农民的合法权益</w:t>
      </w:r>
      <w:r>
        <w:rPr>
          <w:rFonts w:hint="eastAsia" w:ascii="仿宋" w:hAnsi="仿宋" w:eastAsia="仿宋" w:cs="仿宋"/>
          <w:lang w:eastAsia="zh-CN"/>
        </w:rPr>
        <w:t>，</w:t>
      </w:r>
      <w:r>
        <w:rPr>
          <w:rFonts w:hint="eastAsia" w:ascii="仿宋" w:hAnsi="仿宋" w:eastAsia="仿宋" w:cs="仿宋"/>
        </w:rPr>
        <w:t>促进农业和农村经济持续健康发展。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(二)工作目标经过―年的努力建立起统一规范、统分结合、互</w:t>
      </w:r>
      <w:r>
        <w:rPr>
          <w:rFonts w:hint="eastAsia" w:ascii="仿宋" w:hAnsi="仿宋" w:eastAsia="仿宋" w:cs="仿宋"/>
          <w:lang w:eastAsia="zh-CN"/>
        </w:rPr>
        <w:t>联</w:t>
      </w:r>
      <w:r>
        <w:rPr>
          <w:rFonts w:hint="eastAsia" w:ascii="仿宋" w:hAnsi="仿宋" w:eastAsia="仿宋" w:cs="仿宋"/>
        </w:rPr>
        <w:t>共享、快捷有效的农资信用管理系统</w:t>
      </w:r>
      <w:r>
        <w:rPr>
          <w:rFonts w:hint="eastAsia" w:ascii="仿宋" w:hAnsi="仿宋" w:eastAsia="仿宋" w:cs="仿宋"/>
          <w:lang w:eastAsia="zh-CN"/>
        </w:rPr>
        <w:t>，</w:t>
      </w:r>
      <w:r>
        <w:rPr>
          <w:rFonts w:hint="eastAsia" w:ascii="仿宋" w:hAnsi="仿宋" w:eastAsia="仿宋" w:cs="仿宋"/>
        </w:rPr>
        <w:t>使我</w:t>
      </w:r>
      <w:r>
        <w:rPr>
          <w:rFonts w:hint="eastAsia" w:ascii="仿宋" w:hAnsi="仿宋" w:eastAsia="仿宋" w:cs="仿宋"/>
          <w:lang w:eastAsia="zh-CN"/>
        </w:rPr>
        <w:t>县</w:t>
      </w:r>
      <w:r>
        <w:rPr>
          <w:rFonts w:hint="eastAsia" w:ascii="仿宋" w:hAnsi="仿宋" w:eastAsia="仿宋" w:cs="仿宋"/>
        </w:rPr>
        <w:t>各类农资经营主体资格合法</w:t>
      </w:r>
      <w:r>
        <w:rPr>
          <w:rFonts w:hint="eastAsia" w:ascii="仿宋" w:hAnsi="仿宋" w:eastAsia="仿宋" w:cs="仿宋"/>
          <w:lang w:eastAsia="zh-CN"/>
        </w:rPr>
        <w:t>、</w:t>
      </w:r>
      <w:r>
        <w:rPr>
          <w:rFonts w:hint="eastAsia" w:ascii="仿宋" w:hAnsi="仿宋" w:eastAsia="仿宋" w:cs="仿宋"/>
        </w:rPr>
        <w:t>经营规范</w:t>
      </w:r>
      <w:r>
        <w:rPr>
          <w:rFonts w:hint="eastAsia" w:ascii="仿宋" w:hAnsi="仿宋" w:eastAsia="仿宋" w:cs="仿宋"/>
          <w:lang w:eastAsia="zh-CN"/>
        </w:rPr>
        <w:t>、</w:t>
      </w:r>
      <w:r>
        <w:rPr>
          <w:rFonts w:hint="eastAsia" w:ascii="仿宋" w:hAnsi="仿宋" w:eastAsia="仿宋" w:cs="仿宋"/>
        </w:rPr>
        <w:t>诚实信用,农资监管切实有效</w:t>
      </w:r>
      <w:r>
        <w:rPr>
          <w:rFonts w:hint="eastAsia" w:ascii="仿宋" w:hAnsi="仿宋" w:eastAsia="仿宋" w:cs="仿宋"/>
          <w:lang w:eastAsia="zh-CN"/>
        </w:rPr>
        <w:t>，</w:t>
      </w:r>
      <w:r>
        <w:rPr>
          <w:rFonts w:hint="eastAsia" w:ascii="仿宋" w:hAnsi="仿宋" w:eastAsia="仿宋" w:cs="仿宋"/>
        </w:rPr>
        <w:t>基本杜绝由农资质量引发的重大农业生产事故</w:t>
      </w:r>
      <w:r>
        <w:rPr>
          <w:rFonts w:hint="eastAsia" w:ascii="仿宋" w:hAnsi="仿宋" w:eastAsia="仿宋" w:cs="仿宋"/>
          <w:lang w:eastAsia="zh-CN"/>
        </w:rPr>
        <w:t>，</w:t>
      </w:r>
      <w:r>
        <w:rPr>
          <w:rFonts w:hint="eastAsia" w:ascii="仿宋" w:hAnsi="仿宋" w:eastAsia="仿宋" w:cs="仿宋"/>
        </w:rPr>
        <w:t>农民和广大消费者利益得到切实保障。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lang w:eastAsia="zh-CN"/>
        </w:rPr>
      </w:pPr>
      <w:r>
        <w:rPr>
          <w:rFonts w:hint="eastAsia" w:ascii="黑体" w:hAnsi="黑体" w:eastAsia="黑体" w:cs="黑体"/>
        </w:rPr>
        <w:t>二、工作内容</w:t>
      </w:r>
      <w:r>
        <w:rPr>
          <w:rFonts w:hint="eastAsia" w:ascii="黑体" w:hAnsi="黑体" w:eastAsia="黑体" w:cs="黑体"/>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农资信用分类监管由本</w:t>
      </w:r>
      <w:r>
        <w:rPr>
          <w:rFonts w:hint="eastAsia" w:ascii="仿宋" w:hAnsi="仿宋" w:eastAsia="仿宋" w:cs="仿宋"/>
          <w:lang w:eastAsia="zh-CN"/>
        </w:rPr>
        <w:t>县</w:t>
      </w:r>
      <w:r>
        <w:rPr>
          <w:rFonts w:hint="eastAsia" w:ascii="仿宋" w:hAnsi="仿宋" w:eastAsia="仿宋" w:cs="仿宋"/>
        </w:rPr>
        <w:t>具有农资监管职能的部门共同实施开展农资经营主体信用档案建立、信用检查评价、信用公示和农资产品质量监管等工作。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(一)建立农资经营主体信用档案</w:t>
      </w:r>
      <w:r>
        <w:rPr>
          <w:rFonts w:hint="eastAsia" w:ascii="仿宋" w:hAnsi="仿宋" w:eastAsia="仿宋" w:cs="仿宋"/>
          <w:lang w:eastAsia="zh-CN"/>
        </w:rPr>
        <w:t>。</w:t>
      </w:r>
      <w:r>
        <w:rPr>
          <w:rFonts w:hint="eastAsia" w:ascii="仿宋" w:hAnsi="仿宋" w:eastAsia="仿宋" w:cs="仿宋"/>
        </w:rPr>
        <w:t>农资经营主体信用档案主要包括农资经营主体的基本情况和政府部门的监管信息。基本情况主要记录企业登记注册的基本信息、产品信息、行政许可及变更注销情况等内容。监管信息主要记录行政执法及监督检查、质量抽检、信用评定等级和违法违规等情况。</w:t>
      </w:r>
      <w:r>
        <w:rPr>
          <w:rFonts w:hint="eastAsia" w:ascii="仿宋" w:hAnsi="仿宋" w:eastAsia="仿宋" w:cs="仿宋"/>
          <w:lang w:eastAsia="zh-CN"/>
        </w:rPr>
        <w:t>通</w:t>
      </w:r>
      <w:r>
        <w:rPr>
          <w:rFonts w:hint="eastAsia" w:ascii="仿宋" w:hAnsi="仿宋" w:eastAsia="仿宋" w:cs="仿宋"/>
        </w:rPr>
        <w:t>过不良行为记录、监督抽检结果公布、违法违规行为警示等手段推动农资经营主体树立诚信经营意识引导企业加强自律。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(二)指导完善农资经营主体自律管理规章制度</w:t>
      </w:r>
      <w:r>
        <w:rPr>
          <w:rFonts w:hint="eastAsia" w:ascii="仿宋" w:hAnsi="仿宋" w:eastAsia="仿宋" w:cs="仿宋"/>
          <w:lang w:eastAsia="zh-CN"/>
        </w:rPr>
        <w:t>。</w:t>
      </w:r>
      <w:r>
        <w:rPr>
          <w:rFonts w:hint="eastAsia" w:ascii="仿宋" w:hAnsi="仿宋" w:eastAsia="仿宋" w:cs="仿宋"/>
        </w:rPr>
        <w:t>指导农资经营主体在进、销、存各个环节的质量管理</w:t>
      </w:r>
      <w:r>
        <w:rPr>
          <w:rFonts w:hint="eastAsia" w:ascii="仿宋" w:hAnsi="仿宋" w:eastAsia="仿宋" w:cs="仿宋"/>
          <w:lang w:eastAsia="zh-CN"/>
        </w:rPr>
        <w:t>。</w:t>
      </w:r>
      <w:r>
        <w:rPr>
          <w:rFonts w:hint="eastAsia" w:ascii="仿宋" w:hAnsi="仿宋" w:eastAsia="仿宋" w:cs="仿宋"/>
        </w:rPr>
        <w:t>制度实行可追溯管理</w:t>
      </w:r>
      <w:r>
        <w:rPr>
          <w:rFonts w:hint="eastAsia" w:ascii="仿宋" w:hAnsi="仿宋" w:eastAsia="仿宋" w:cs="仿宋"/>
          <w:lang w:eastAsia="zh-CN"/>
        </w:rPr>
        <w:t>，</w:t>
      </w:r>
      <w:r>
        <w:rPr>
          <w:rFonts w:hint="eastAsia" w:ascii="仿宋" w:hAnsi="仿宋" w:eastAsia="仿宋" w:cs="仿宋"/>
        </w:rPr>
        <w:t>推行质量承诺制度</w:t>
      </w:r>
      <w:r>
        <w:rPr>
          <w:rFonts w:hint="eastAsia" w:ascii="仿宋" w:hAnsi="仿宋" w:eastAsia="仿宋" w:cs="仿宋"/>
          <w:lang w:eastAsia="zh-CN"/>
        </w:rPr>
        <w:t>，</w:t>
      </w:r>
      <w:r>
        <w:rPr>
          <w:rFonts w:hint="eastAsia" w:ascii="仿宋" w:hAnsi="仿宋" w:eastAsia="仿宋" w:cs="仿宋"/>
        </w:rPr>
        <w:t>切实把好农资商品质量关</w:t>
      </w:r>
      <w:r>
        <w:rPr>
          <w:rFonts w:hint="eastAsia" w:ascii="仿宋" w:hAnsi="仿宋" w:eastAsia="仿宋" w:cs="仿宋"/>
          <w:lang w:eastAsia="zh-CN"/>
        </w:rPr>
        <w:t>，</w:t>
      </w:r>
      <w:r>
        <w:rPr>
          <w:rFonts w:hint="eastAsia" w:ascii="仿宋" w:hAnsi="仿宋" w:eastAsia="仿宋" w:cs="仿宋"/>
        </w:rPr>
        <w:t>杜绝不合格农资产品流入农村。对经营主体要指导和帮助建立以下几方面制度: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lang w:eastAsia="zh-CN"/>
        </w:rPr>
      </w:pPr>
      <w:r>
        <w:rPr>
          <w:rFonts w:hint="eastAsia" w:ascii="仿宋" w:hAnsi="仿宋" w:eastAsia="仿宋" w:cs="仿宋"/>
        </w:rPr>
        <w:t>一是农资质量管理制度</w:t>
      </w:r>
      <w:r>
        <w:rPr>
          <w:rFonts w:hint="eastAsia" w:ascii="仿宋" w:hAnsi="仿宋" w:eastAsia="仿宋" w:cs="仿宋"/>
          <w:lang w:eastAsia="zh-CN"/>
        </w:rPr>
        <w:t>。</w:t>
      </w:r>
      <w:r>
        <w:rPr>
          <w:rFonts w:hint="eastAsia" w:ascii="仿宋" w:hAnsi="仿宋" w:eastAsia="仿宋" w:cs="仿宋"/>
        </w:rPr>
        <w:t>包括进货查验、索票索证、日常检验、问题农资召回、过期商品处理等制度</w:t>
      </w:r>
      <w:r>
        <w:rPr>
          <w:rFonts w:hint="eastAsia" w:ascii="仿宋" w:hAnsi="仿宋" w:eastAsia="仿宋" w:cs="仿宋"/>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lang w:eastAsia="zh-CN"/>
        </w:rPr>
      </w:pPr>
      <w:r>
        <w:rPr>
          <w:rFonts w:hint="eastAsia" w:ascii="仿宋" w:hAnsi="仿宋" w:eastAsia="仿宋" w:cs="仿宋"/>
        </w:rPr>
        <w:t>二是农资购、销台帐制度</w:t>
      </w:r>
      <w:r>
        <w:rPr>
          <w:rFonts w:hint="eastAsia" w:ascii="仿宋" w:hAnsi="仿宋" w:eastAsia="仿宋" w:cs="仿宋"/>
          <w:lang w:eastAsia="zh-CN"/>
        </w:rPr>
        <w:t>。</w:t>
      </w:r>
      <w:r>
        <w:rPr>
          <w:rFonts w:hint="eastAsia" w:ascii="仿宋" w:hAnsi="仿宋" w:eastAsia="仿宋" w:cs="仿宋"/>
        </w:rPr>
        <w:t>推行“两帐两票”、“一卡一书”(农资商品进、销货台帐进、销货发票及质量信誉卡、经营主体承诺书)、规范经营档案管理</w:t>
      </w:r>
      <w:r>
        <w:rPr>
          <w:rFonts w:hint="eastAsia" w:ascii="仿宋" w:hAnsi="仿宋" w:eastAsia="仿宋" w:cs="仿宋"/>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lang w:eastAsia="zh-CN"/>
        </w:rPr>
      </w:pPr>
      <w:r>
        <w:rPr>
          <w:rFonts w:hint="eastAsia" w:ascii="仿宋" w:hAnsi="仿宋" w:eastAsia="仿宋" w:cs="仿宋"/>
        </w:rPr>
        <w:t>三是优质服务制度</w:t>
      </w:r>
      <w:r>
        <w:rPr>
          <w:rFonts w:hint="eastAsia" w:ascii="仿宋" w:hAnsi="仿宋" w:eastAsia="仿宋" w:cs="仿宋"/>
          <w:lang w:eastAsia="zh-CN"/>
        </w:rPr>
        <w:t>。</w:t>
      </w:r>
      <w:r>
        <w:rPr>
          <w:rFonts w:hint="eastAsia" w:ascii="仿宋" w:hAnsi="仿宋" w:eastAsia="仿宋" w:cs="仿宋"/>
        </w:rPr>
        <w:t>包括制定经营守则、提供农资商品技术咨询和指导服务等</w:t>
      </w:r>
      <w:r>
        <w:rPr>
          <w:rFonts w:hint="eastAsia" w:ascii="仿宋" w:hAnsi="仿宋" w:eastAsia="仿宋" w:cs="仿宋"/>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lang w:eastAsia="zh-CN"/>
        </w:rPr>
      </w:pPr>
      <w:r>
        <w:rPr>
          <w:rFonts w:hint="eastAsia" w:ascii="仿宋" w:hAnsi="仿宋" w:eastAsia="仿宋" w:cs="仿宋"/>
        </w:rPr>
        <w:t>四是责任制度</w:t>
      </w:r>
      <w:r>
        <w:rPr>
          <w:rFonts w:hint="eastAsia" w:ascii="仿宋" w:hAnsi="仿宋" w:eastAsia="仿宋" w:cs="仿宋"/>
          <w:lang w:eastAsia="zh-CN"/>
        </w:rPr>
        <w:t>。</w:t>
      </w:r>
      <w:r>
        <w:rPr>
          <w:rFonts w:hint="eastAsia" w:ascii="仿宋" w:hAnsi="仿宋" w:eastAsia="仿宋" w:cs="仿宋"/>
        </w:rPr>
        <w:t>包括对外质量承诺内部管理责任</w:t>
      </w:r>
      <w:r>
        <w:rPr>
          <w:rFonts w:hint="eastAsia" w:ascii="仿宋" w:hAnsi="仿宋" w:eastAsia="仿宋" w:cs="仿宋"/>
          <w:lang w:eastAsia="zh-CN"/>
        </w:rPr>
        <w:t>，</w:t>
      </w:r>
      <w:r>
        <w:rPr>
          <w:rFonts w:hint="eastAsia" w:ascii="仿宋" w:hAnsi="仿宋" w:eastAsia="仿宋" w:cs="仿宋"/>
        </w:rPr>
        <w:t>分支机构自采商品申报</w:t>
      </w:r>
      <w:r>
        <w:rPr>
          <w:rFonts w:hint="eastAsia" w:ascii="仿宋" w:hAnsi="仿宋" w:eastAsia="仿宋" w:cs="仿宋"/>
          <w:lang w:eastAsia="zh-CN"/>
        </w:rPr>
        <w:t>，</w:t>
      </w:r>
      <w:r>
        <w:rPr>
          <w:rFonts w:hint="eastAsia" w:ascii="仿宋" w:hAnsi="仿宋" w:eastAsia="仿宋" w:cs="仿宋"/>
        </w:rPr>
        <w:t>问题商品下架、召回、损失先行赔付等</w:t>
      </w:r>
      <w:r>
        <w:rPr>
          <w:rFonts w:hint="eastAsia" w:ascii="仿宋" w:hAnsi="仿宋" w:eastAsia="仿宋" w:cs="仿宋"/>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五是业主自律制度</w:t>
      </w:r>
      <w:r>
        <w:rPr>
          <w:rFonts w:hint="eastAsia" w:ascii="仿宋" w:hAnsi="仿宋" w:eastAsia="仿宋" w:cs="仿宋"/>
          <w:lang w:eastAsia="zh-CN"/>
        </w:rPr>
        <w:t>。</w:t>
      </w:r>
      <w:r>
        <w:rPr>
          <w:rFonts w:hint="eastAsia" w:ascii="仿宋" w:hAnsi="仿宋" w:eastAsia="仿宋" w:cs="仿宋"/>
        </w:rPr>
        <w:t>指导</w:t>
      </w:r>
      <w:r>
        <w:rPr>
          <w:rFonts w:hint="eastAsia" w:ascii="仿宋" w:hAnsi="仿宋" w:eastAsia="仿宋" w:cs="仿宋"/>
          <w:lang w:eastAsia="zh-CN"/>
        </w:rPr>
        <w:t>县</w:t>
      </w:r>
      <w:r>
        <w:rPr>
          <w:rFonts w:hint="eastAsia" w:ascii="仿宋" w:hAnsi="仿宋" w:eastAsia="仿宋" w:cs="仿宋"/>
        </w:rPr>
        <w:t>农资行业协会完善行业公约和协会章程</w:t>
      </w:r>
      <w:r>
        <w:rPr>
          <w:rFonts w:hint="eastAsia" w:ascii="仿宋" w:hAnsi="仿宋" w:eastAsia="仿宋" w:cs="仿宋"/>
          <w:lang w:eastAsia="zh-CN"/>
        </w:rPr>
        <w:t>，</w:t>
      </w:r>
      <w:r>
        <w:rPr>
          <w:rFonts w:hint="eastAsia" w:ascii="仿宋" w:hAnsi="仿宋" w:eastAsia="仿宋" w:cs="仿宋"/>
        </w:rPr>
        <w:t>自我规范农资生产经营行为</w:t>
      </w:r>
      <w:r>
        <w:rPr>
          <w:rFonts w:hint="eastAsia" w:ascii="仿宋" w:hAnsi="仿宋" w:eastAsia="仿宋" w:cs="仿宋"/>
          <w:lang w:eastAsia="zh-CN"/>
        </w:rPr>
        <w:t>。</w:t>
      </w:r>
      <w:r>
        <w:rPr>
          <w:rFonts w:hint="eastAsia" w:ascii="仿宋" w:hAnsi="仿宋" w:eastAsia="仿宋" w:cs="仿宋"/>
        </w:rPr>
        <w:t>指导连锁经营龙头企业、设立企业加强对下属分支机构的内部监督检查和辅导</w:t>
      </w:r>
      <w:r>
        <w:rPr>
          <w:rFonts w:hint="eastAsia" w:ascii="仿宋" w:hAnsi="仿宋" w:eastAsia="仿宋" w:cs="仿宋"/>
          <w:lang w:eastAsia="zh-CN"/>
        </w:rPr>
        <w:t>，</w:t>
      </w:r>
      <w:r>
        <w:rPr>
          <w:rFonts w:hint="eastAsia" w:ascii="仿宋" w:hAnsi="仿宋" w:eastAsia="仿宋" w:cs="仿宋"/>
        </w:rPr>
        <w:t>明确内部管理和经营责任</w:t>
      </w:r>
      <w:r>
        <w:rPr>
          <w:rFonts w:hint="eastAsia" w:ascii="仿宋" w:hAnsi="仿宋" w:eastAsia="仿宋" w:cs="仿宋"/>
          <w:lang w:eastAsia="zh-CN"/>
        </w:rPr>
        <w:t>，</w:t>
      </w:r>
      <w:r>
        <w:rPr>
          <w:rFonts w:hint="eastAsia" w:ascii="仿宋" w:hAnsi="仿宋" w:eastAsia="仿宋" w:cs="仿宋"/>
        </w:rPr>
        <w:t>完善连锁经营</w:t>
      </w:r>
      <w:r>
        <w:rPr>
          <w:rFonts w:hint="eastAsia" w:ascii="仿宋" w:hAnsi="仿宋" w:eastAsia="仿宋" w:cs="仿宋"/>
          <w:lang w:eastAsia="zh-CN"/>
        </w:rPr>
        <w:t>，</w:t>
      </w:r>
      <w:r>
        <w:rPr>
          <w:rFonts w:hint="eastAsia" w:ascii="仿宋" w:hAnsi="仿宋" w:eastAsia="仿宋" w:cs="仿宋"/>
        </w:rPr>
        <w:t>维护良好的经营秩序</w:t>
      </w:r>
      <w:r>
        <w:rPr>
          <w:rFonts w:hint="eastAsia" w:ascii="仿宋" w:hAnsi="仿宋" w:eastAsia="仿宋" w:cs="仿宋"/>
          <w:lang w:eastAsia="zh-CN"/>
        </w:rPr>
        <w:t>，</w:t>
      </w:r>
      <w:r>
        <w:rPr>
          <w:rFonts w:hint="eastAsia" w:ascii="仿宋" w:hAnsi="仿宋" w:eastAsia="仿宋" w:cs="仿宋"/>
        </w:rPr>
        <w:t>营造公平的市场环境</w:t>
      </w:r>
      <w:r>
        <w:rPr>
          <w:rFonts w:hint="eastAsia" w:ascii="仿宋" w:hAnsi="仿宋" w:eastAsia="仿宋" w:cs="仿宋"/>
          <w:lang w:eastAsia="zh-CN"/>
        </w:rPr>
        <w:t>，</w:t>
      </w:r>
      <w:r>
        <w:rPr>
          <w:rFonts w:hint="eastAsia" w:ascii="仿宋" w:hAnsi="仿宋" w:eastAsia="仿宋" w:cs="仿宋"/>
        </w:rPr>
        <w:t>抵制、阻止各种违法经营行为。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lang w:eastAsia="zh-CN"/>
        </w:rPr>
        <w:t>（三）</w:t>
      </w:r>
      <w:r>
        <w:rPr>
          <w:rFonts w:hint="eastAsia" w:ascii="仿宋" w:hAnsi="仿宋" w:eastAsia="仿宋" w:cs="仿宋"/>
        </w:rPr>
        <w:t>建立农资经营主体信用评价和信用分类监管体系</w:t>
      </w:r>
      <w:r>
        <w:rPr>
          <w:rFonts w:hint="eastAsia" w:ascii="仿宋" w:hAnsi="仿宋" w:eastAsia="仿宋" w:cs="仿宋"/>
          <w:lang w:eastAsia="zh-CN"/>
        </w:rPr>
        <w:t>，</w:t>
      </w:r>
      <w:r>
        <w:rPr>
          <w:rFonts w:hint="eastAsia" w:ascii="仿宋" w:hAnsi="仿宋" w:eastAsia="仿宋" w:cs="仿宋"/>
        </w:rPr>
        <w:t>制定</w:t>
      </w:r>
      <w:r>
        <w:rPr>
          <w:rFonts w:hint="eastAsia" w:ascii="仿宋" w:hAnsi="仿宋" w:eastAsia="仿宋" w:cs="仿宋"/>
          <w:lang w:eastAsia="zh-CN"/>
        </w:rPr>
        <w:t>县</w:t>
      </w:r>
      <w:r>
        <w:rPr>
          <w:rFonts w:hint="eastAsia" w:ascii="仿宋" w:hAnsi="仿宋" w:eastAsia="仿宋" w:cs="仿宋"/>
        </w:rPr>
        <w:t>农资经营主体信用分类监管暂行办法和信用检查评价标准</w:t>
      </w:r>
      <w:r>
        <w:rPr>
          <w:rFonts w:hint="eastAsia" w:ascii="仿宋" w:hAnsi="仿宋" w:eastAsia="仿宋" w:cs="仿宋"/>
          <w:lang w:eastAsia="zh-CN"/>
        </w:rPr>
        <w:t>，</w:t>
      </w:r>
      <w:r>
        <w:rPr>
          <w:rFonts w:hint="eastAsia" w:ascii="仿宋" w:hAnsi="仿宋" w:eastAsia="仿宋" w:cs="仿宋"/>
        </w:rPr>
        <w:t>确定农资企业信用等级标准和认定、变更信用等级的方法</w:t>
      </w:r>
      <w:r>
        <w:rPr>
          <w:rFonts w:hint="eastAsia" w:ascii="仿宋" w:hAnsi="仿宋" w:eastAsia="仿宋" w:cs="仿宋"/>
          <w:lang w:eastAsia="zh-CN"/>
        </w:rPr>
        <w:t>。</w:t>
      </w:r>
      <w:r>
        <w:rPr>
          <w:rFonts w:hint="eastAsia" w:ascii="仿宋" w:hAnsi="仿宋" w:eastAsia="仿宋" w:cs="仿宋"/>
        </w:rPr>
        <w:t>设定针对A、B、C、D不同信用等级的监管措施。过对经营主体的现场检查评价、打分定级</w:t>
      </w:r>
      <w:r>
        <w:rPr>
          <w:rFonts w:hint="eastAsia" w:ascii="仿宋" w:hAnsi="仿宋" w:eastAsia="仿宋" w:cs="仿宋"/>
          <w:lang w:eastAsia="zh-CN"/>
        </w:rPr>
        <w:t>，</w:t>
      </w:r>
      <w:r>
        <w:rPr>
          <w:rFonts w:hint="eastAsia" w:ascii="仿宋" w:hAnsi="仿宋" w:eastAsia="仿宋" w:cs="仿宋"/>
        </w:rPr>
        <w:t>在公正、公开、客观、慎重的基础上确定经营主体的信用等级并将此属于监管信息范畴的信用等级在经营主体店堂、媒体、互联网上公示</w:t>
      </w:r>
      <w:r>
        <w:rPr>
          <w:rFonts w:hint="eastAsia" w:ascii="仿宋" w:hAnsi="仿宋" w:eastAsia="仿宋" w:cs="仿宋"/>
          <w:lang w:eastAsia="zh-CN"/>
        </w:rPr>
        <w:t>。</w:t>
      </w:r>
      <w:r>
        <w:rPr>
          <w:rFonts w:hint="eastAsia" w:ascii="仿宋" w:hAnsi="仿宋" w:eastAsia="仿宋" w:cs="仿宋"/>
        </w:rPr>
        <w:t>各监管职能部门依据不同的信用等级实施不同的监管和扶持措施。开展“农资诚信经营示范店”“重合同守信用企业”创建活动</w:t>
      </w:r>
      <w:r>
        <w:rPr>
          <w:rFonts w:hint="eastAsia" w:ascii="仿宋" w:hAnsi="仿宋" w:eastAsia="仿宋" w:cs="仿宋"/>
          <w:lang w:eastAsia="zh-CN"/>
        </w:rPr>
        <w:t>，</w:t>
      </w:r>
      <w:r>
        <w:rPr>
          <w:rFonts w:hint="eastAsia" w:ascii="仿宋" w:hAnsi="仿宋" w:eastAsia="仿宋" w:cs="仿宋"/>
        </w:rPr>
        <w:t>推荐A级信用主体中的高分者参加申报充分发挥典型示范作用。对长期守法诚信经营的主体要给予宣传表彰采取优惠措施扶持企业做大做强。对信用等级低的企业要予以警示和限期改正建立黑名单制度对违法次数多、性质严重的主体予以重点监控或责令退出市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三、</w:t>
      </w:r>
      <w:r>
        <w:rPr>
          <w:rFonts w:hint="eastAsia" w:ascii="黑体" w:hAnsi="黑体" w:eastAsia="黑体" w:cs="黑体"/>
        </w:rPr>
        <w:t>工作要求</w:t>
      </w:r>
      <w:r>
        <w:rPr>
          <w:rFonts w:hint="eastAsia" w:ascii="黑体" w:hAnsi="黑体" w:eastAsia="黑体" w:cs="黑体"/>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加强组织领导落实相关责任。开展农资经营主体信用分类监管是社会信用体系建设系统工程中农资信用体系建设的一项重要工作</w:t>
      </w:r>
      <w:r>
        <w:rPr>
          <w:rFonts w:hint="eastAsia" w:ascii="仿宋" w:hAnsi="仿宋" w:eastAsia="仿宋" w:cs="仿宋"/>
          <w:lang w:eastAsia="zh-CN"/>
        </w:rPr>
        <w:t>，</w:t>
      </w:r>
      <w:r>
        <w:rPr>
          <w:rFonts w:hint="eastAsia" w:ascii="仿宋" w:hAnsi="仿宋" w:eastAsia="仿宋" w:cs="仿宋"/>
        </w:rPr>
        <w:t>任务艰巨责任重大。各农资监管职能</w:t>
      </w:r>
      <w:r>
        <w:rPr>
          <w:rFonts w:hint="eastAsia" w:ascii="仿宋" w:hAnsi="仿宋" w:eastAsia="仿宋" w:cs="仿宋"/>
          <w:lang w:eastAsia="zh-CN"/>
        </w:rPr>
        <w:t>单位</w:t>
      </w:r>
      <w:r>
        <w:rPr>
          <w:rFonts w:hint="eastAsia" w:ascii="仿宋" w:hAnsi="仿宋" w:eastAsia="仿宋" w:cs="仿宋"/>
        </w:rPr>
        <w:t>要高度重视加强组织领导</w:t>
      </w:r>
      <w:r>
        <w:rPr>
          <w:rFonts w:hint="eastAsia" w:ascii="仿宋" w:hAnsi="仿宋" w:eastAsia="仿宋" w:cs="仿宋"/>
          <w:lang w:eastAsia="zh-CN"/>
        </w:rPr>
        <w:t>，</w:t>
      </w:r>
      <w:r>
        <w:rPr>
          <w:rFonts w:hint="eastAsia" w:ascii="仿宋" w:hAnsi="仿宋" w:eastAsia="仿宋" w:cs="仿宋"/>
        </w:rPr>
        <w:t>要成立专门的领导小组组织</w:t>
      </w:r>
      <w:r>
        <w:rPr>
          <w:rFonts w:hint="eastAsia" w:ascii="仿宋" w:hAnsi="仿宋" w:eastAsia="仿宋" w:cs="仿宋"/>
          <w:lang w:eastAsia="zh-CN"/>
        </w:rPr>
        <w:t>，做好与其他部门的协调配合工作，</w:t>
      </w:r>
      <w:r>
        <w:rPr>
          <w:rFonts w:hint="eastAsia" w:ascii="仿宋" w:hAnsi="仿宋" w:eastAsia="仿宋" w:cs="仿宋"/>
        </w:rPr>
        <w:t>确保全</w:t>
      </w:r>
      <w:r>
        <w:rPr>
          <w:rFonts w:hint="eastAsia" w:ascii="仿宋" w:hAnsi="仿宋" w:eastAsia="仿宋" w:cs="仿宋"/>
          <w:lang w:eastAsia="zh-CN"/>
        </w:rPr>
        <w:t>县</w:t>
      </w:r>
      <w:r>
        <w:rPr>
          <w:rFonts w:hint="eastAsia" w:ascii="仿宋" w:hAnsi="仿宋" w:eastAsia="仿宋" w:cs="仿宋"/>
        </w:rPr>
        <w:t>农资经营主体信用分类监管工作顺利进行。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lang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lang w:val="en-US" w:eastAsia="zh-CN"/>
        </w:rPr>
      </w:pPr>
      <w:r>
        <w:rPr>
          <w:rFonts w:hint="eastAsia" w:ascii="仿宋" w:hAnsi="仿宋" w:eastAsia="仿宋" w:cs="仿宋"/>
          <w:lang w:val="en-US" w:eastAsia="zh-CN"/>
        </w:rPr>
        <w:t xml:space="preserve">                             2023年7月14日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6AF3DE"/>
    <w:multiLevelType w:val="singleLevel"/>
    <w:tmpl w:val="106AF3D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4NmFhMjA4YTI2ZDI3NmU5ODM2M2Q4Y2U0ZGZmZjcifQ=="/>
  </w:docVars>
  <w:rsids>
    <w:rsidRoot w:val="411205A8"/>
    <w:rsid w:val="06006A56"/>
    <w:rsid w:val="09D72EFE"/>
    <w:rsid w:val="0CD3793A"/>
    <w:rsid w:val="10A06E79"/>
    <w:rsid w:val="294E768A"/>
    <w:rsid w:val="411205A8"/>
    <w:rsid w:val="6B09457F"/>
    <w:rsid w:val="6E954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6"/>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1497</Words>
  <Characters>1505</Characters>
  <Lines>0</Lines>
  <Paragraphs>0</Paragraphs>
  <TotalTime>7</TotalTime>
  <ScaleCrop>false</ScaleCrop>
  <LinksUpToDate>false</LinksUpToDate>
  <CharactersWithSpaces>1534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2021-03-29T10:54:00Z</dcterms:created>
  <dc:creator>Administrator</dc:creator>
  <cp:lastModifiedBy>admin</cp:lastModifiedBy>
  <dcterms:modified xsi:type="dcterms:W3CDTF">2023-07-15T01:41:27Z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514FF7139CEB409DB20CC167D893792A_13</vt:lpwstr>
  </property>
</Properties>
</file>